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40" w:lineRule="auto"/>
        <w:rPr>
          <w:rFonts w:ascii="Arial" w:cs="Arial" w:eastAsia="Arial" w:hAnsi="Arial"/>
          <w:b w:val="1"/>
          <w:sz w:val="36"/>
          <w:szCs w:val="36"/>
        </w:rPr>
      </w:pPr>
      <w:bookmarkStart w:colFirst="0" w:colLast="0" w:name="_heading=h.49x2ik5" w:id="0"/>
      <w:bookmarkEnd w:id="0"/>
      <w:r w:rsidDel="00000000" w:rsidR="00000000" w:rsidRPr="00000000">
        <w:rPr>
          <w:rtl w:val="0"/>
        </w:rPr>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spacing w:after="240" w:line="240" w:lineRule="auto"/>
        <w:rPr>
          <w:rFonts w:ascii="Arial" w:cs="Arial" w:eastAsia="Arial" w:hAnsi="Arial"/>
          <w:b w:val="1"/>
          <w:color w:val="000000"/>
          <w:sz w:val="32"/>
          <w:szCs w:val="32"/>
        </w:rPr>
      </w:pPr>
      <w:r w:rsidDel="00000000" w:rsidR="00000000" w:rsidRPr="00000000">
        <w:rPr>
          <w:rFonts w:ascii="Arial" w:cs="Arial" w:eastAsia="Arial" w:hAnsi="Arial"/>
          <w:b w:val="1"/>
          <w:color w:val="000000"/>
          <w:sz w:val="32"/>
          <w:szCs w:val="32"/>
          <w:rtl w:val="0"/>
        </w:rPr>
        <w:t xml:space="preserve">Call-Off Schedule 10 (Exit Management)</w:t>
      </w:r>
    </w:p>
    <w:p w:rsidR="00000000" w:rsidDel="00000000" w:rsidP="00000000" w:rsidRDefault="00000000" w:rsidRPr="00000000" w14:paraId="00000003">
      <w:pPr>
        <w:keepNext w:val="1"/>
        <w:pBdr>
          <w:top w:space="0" w:sz="0" w:val="nil"/>
          <w:left w:space="0" w:sz="0" w:val="nil"/>
          <w:bottom w:space="0" w:sz="0" w:val="nil"/>
          <w:right w:space="0" w:sz="0" w:val="nil"/>
          <w:between w:space="0" w:sz="0" w:val="nil"/>
        </w:pBdr>
        <w:spacing w:after="240" w:line="240" w:lineRule="auto"/>
        <w:rPr>
          <w:rFonts w:ascii="Arial" w:cs="Arial" w:eastAsia="Arial" w:hAnsi="Arial"/>
          <w:b w:val="1"/>
          <w:color w:val="000000"/>
          <w:sz w:val="32"/>
          <w:szCs w:val="32"/>
        </w:rPr>
      </w:pPr>
      <w:r w:rsidDel="00000000" w:rsidR="00000000" w:rsidRPr="00000000">
        <w:rPr>
          <w:rFonts w:ascii="Arial" w:cs="Arial" w:eastAsia="Arial" w:hAnsi="Arial"/>
          <w:b w:val="1"/>
          <w:color w:val="000000"/>
          <w:sz w:val="32"/>
          <w:szCs w:val="32"/>
          <w:rtl w:val="0"/>
        </w:rPr>
        <w:t xml:space="preserve">[</w:t>
      </w:r>
      <w:r w:rsidDel="00000000" w:rsidR="00000000" w:rsidRPr="00000000">
        <w:rPr>
          <w:rFonts w:ascii="Arial" w:cs="Arial" w:eastAsia="Arial" w:hAnsi="Arial"/>
          <w:b w:val="1"/>
          <w:color w:val="000000"/>
          <w:highlight w:val="yellow"/>
          <w:rtl w:val="0"/>
        </w:rPr>
        <w:t xml:space="preserve">Guidance Note</w:t>
      </w:r>
      <w:r w:rsidDel="00000000" w:rsidR="00000000" w:rsidRPr="00000000">
        <w:rPr>
          <w:rFonts w:ascii="Arial" w:cs="Arial" w:eastAsia="Arial" w:hAnsi="Arial"/>
          <w:b w:val="1"/>
          <w:color w:val="000000"/>
          <w:rtl w:val="0"/>
        </w:rPr>
        <w:t xml:space="preserve">: </w:t>
      </w:r>
      <w:r w:rsidDel="00000000" w:rsidR="00000000" w:rsidRPr="00000000">
        <w:rPr>
          <w:rFonts w:ascii="Arial" w:cs="Arial" w:eastAsia="Arial" w:hAnsi="Arial"/>
          <w:color w:val="000000"/>
          <w:rtl w:val="0"/>
        </w:rPr>
        <w:t xml:space="preserve">Buyer to select whether or when Part A (Long Form Exit Management Requirements) or Part B (Short Form Exit Management Requirements- SaaS) should apply</w:t>
      </w:r>
      <w:r w:rsidDel="00000000" w:rsidR="00000000" w:rsidRPr="00000000">
        <w:rPr>
          <w:rFonts w:ascii="Arial" w:cs="Arial" w:eastAsia="Arial" w:hAnsi="Arial"/>
          <w:b w:val="1"/>
          <w:color w:val="000000"/>
          <w:rtl w:val="0"/>
        </w:rPr>
        <w:t xml:space="preserve">.</w:t>
      </w:r>
      <w:r w:rsidDel="00000000" w:rsidR="00000000" w:rsidRPr="00000000">
        <w:rPr>
          <w:rtl w:val="0"/>
        </w:rPr>
      </w:r>
    </w:p>
    <w:p w:rsidR="00000000" w:rsidDel="00000000" w:rsidP="00000000" w:rsidRDefault="00000000" w:rsidRPr="00000000" w14:paraId="00000004">
      <w:pPr>
        <w:keepNext w:val="1"/>
        <w:pBdr>
          <w:top w:space="0" w:sz="0" w:val="nil"/>
          <w:left w:space="0" w:sz="0" w:val="nil"/>
          <w:bottom w:space="0" w:sz="0" w:val="nil"/>
          <w:right w:space="0" w:sz="0" w:val="nil"/>
          <w:between w:space="0" w:sz="0" w:val="nil"/>
        </w:pBdr>
        <w:spacing w:after="240" w:line="240" w:lineRule="auto"/>
        <w:rPr>
          <w:rFonts w:ascii="Arial" w:cs="Arial" w:eastAsia="Arial" w:hAnsi="Arial"/>
          <w:b w:val="1"/>
          <w:color w:val="000000"/>
          <w:sz w:val="32"/>
          <w:szCs w:val="32"/>
        </w:rPr>
      </w:pPr>
      <w:r w:rsidDel="00000000" w:rsidR="00000000" w:rsidRPr="00000000">
        <w:rPr>
          <w:rFonts w:ascii="Arial" w:cs="Arial" w:eastAsia="Arial" w:hAnsi="Arial"/>
          <w:b w:val="1"/>
          <w:color w:val="000000"/>
          <w:sz w:val="32"/>
          <w:szCs w:val="32"/>
          <w:rtl w:val="0"/>
        </w:rPr>
        <w:t xml:space="preserve">Part A: Long Form Exit Management Requirements</w:t>
      </w:r>
    </w:p>
    <w:p w:rsidR="00000000" w:rsidDel="00000000" w:rsidP="00000000" w:rsidRDefault="00000000" w:rsidRPr="00000000" w14:paraId="00000005">
      <w:pPr>
        <w:keepNext w:val="1"/>
        <w:numPr>
          <w:ilvl w:val="0"/>
          <w:numId w:val="1"/>
        </w:numPr>
        <w:pBdr>
          <w:top w:space="0" w:sz="0" w:val="nil"/>
          <w:left w:space="0" w:sz="0" w:val="nil"/>
          <w:bottom w:space="0" w:sz="0" w:val="nil"/>
          <w:right w:space="0" w:sz="0" w:val="nil"/>
          <w:between w:space="0" w:sz="0" w:val="nil"/>
        </w:pBdr>
        <w:tabs>
          <w:tab w:val="left" w:pos="0"/>
        </w:tabs>
        <w:spacing w:after="240" w:before="240" w:line="240" w:lineRule="auto"/>
        <w:ind w:left="644" w:hanging="36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Definitions</w:t>
      </w:r>
      <w:r w:rsidDel="00000000" w:rsidR="00000000" w:rsidRPr="00000000">
        <w:rPr>
          <w:rtl w:val="0"/>
        </w:rPr>
      </w:r>
    </w:p>
    <w:p w:rsidR="00000000" w:rsidDel="00000000" w:rsidP="00000000" w:rsidRDefault="00000000" w:rsidRPr="00000000" w14:paraId="00000006">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Schedule, the following words shall have the following meanings and they shall supplement Joint Schedule 1 (Definitions):</w:t>
      </w:r>
    </w:p>
    <w:tbl>
      <w:tblPr>
        <w:tblStyle w:val="Table1"/>
        <w:tblW w:w="7988.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060"/>
        <w:gridCol w:w="4928"/>
        <w:tblGridChange w:id="0">
          <w:tblGrid>
            <w:gridCol w:w="3060"/>
            <w:gridCol w:w="4928"/>
          </w:tblGrid>
        </w:tblGridChange>
      </w:tblGrid>
      <w:tr>
        <w:trPr>
          <w:cantSplit w:val="0"/>
          <w:tblHeader w:val="0"/>
        </w:trPr>
        <w:tc>
          <w:tcPr/>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"Exclusive Assets"</w:t>
            </w:r>
          </w:p>
        </w:tc>
        <w:tc>
          <w:tcPr/>
          <w:p w:rsidR="00000000" w:rsidDel="00000000" w:rsidP="00000000" w:rsidRDefault="00000000" w:rsidRPr="00000000" w14:paraId="00000008">
            <w:pPr>
              <w:numPr>
                <w:ilvl w:val="0"/>
                <w:numId w:val="2"/>
              </w:numPr>
              <w:pBdr>
                <w:top w:space="0" w:sz="0" w:val="nil"/>
                <w:left w:space="0" w:sz="0" w:val="nil"/>
                <w:bottom w:space="0" w:sz="0" w:val="nil"/>
                <w:right w:space="0" w:sz="0" w:val="nil"/>
                <w:between w:space="0" w:sz="0" w:val="nil"/>
              </w:pBdr>
              <w:tabs>
                <w:tab w:val="left" w:pos="-9"/>
              </w:tabs>
              <w:spacing w:after="120" w:line="240" w:lineRule="auto"/>
              <w:ind w:left="170" w:hanging="17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Supplier Assets used exclusively by the Supplier [</w:t>
            </w:r>
            <w:r w:rsidDel="00000000" w:rsidR="00000000" w:rsidRPr="00000000">
              <w:rPr>
                <w:rFonts w:ascii="Arial" w:cs="Arial" w:eastAsia="Arial" w:hAnsi="Arial"/>
                <w:color w:val="000000"/>
                <w:sz w:val="24"/>
                <w:szCs w:val="24"/>
                <w:highlight w:val="yellow"/>
                <w:rtl w:val="0"/>
              </w:rPr>
              <w:t xml:space="preserve">or a Key Subcontractor</w:t>
            </w:r>
            <w:r w:rsidDel="00000000" w:rsidR="00000000" w:rsidRPr="00000000">
              <w:rPr>
                <w:rFonts w:ascii="Arial" w:cs="Arial" w:eastAsia="Arial" w:hAnsi="Arial"/>
                <w:color w:val="000000"/>
                <w:sz w:val="24"/>
                <w:szCs w:val="24"/>
                <w:rtl w:val="0"/>
              </w:rPr>
              <w:t xml:space="preserve">] in the provision of the Deliverables;</w:t>
            </w:r>
          </w:p>
        </w:tc>
      </w:tr>
      <w:tr>
        <w:trPr>
          <w:cantSplit w:val="0"/>
          <w:tblHeader w:val="0"/>
        </w:trPr>
        <w:tc>
          <w:tcPr/>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"Exit Information"</w:t>
            </w:r>
          </w:p>
        </w:tc>
        <w:tc>
          <w:tcPr/>
          <w:p w:rsidR="00000000" w:rsidDel="00000000" w:rsidP="00000000" w:rsidRDefault="00000000" w:rsidRPr="00000000" w14:paraId="0000000A">
            <w:pPr>
              <w:numPr>
                <w:ilvl w:val="0"/>
                <w:numId w:val="2"/>
              </w:numPr>
              <w:pBdr>
                <w:top w:space="0" w:sz="0" w:val="nil"/>
                <w:left w:space="0" w:sz="0" w:val="nil"/>
                <w:bottom w:space="0" w:sz="0" w:val="nil"/>
                <w:right w:space="0" w:sz="0" w:val="nil"/>
                <w:between w:space="0" w:sz="0" w:val="nil"/>
              </w:pBdr>
              <w:tabs>
                <w:tab w:val="left" w:pos="-9"/>
              </w:tabs>
              <w:spacing w:after="120" w:line="240" w:lineRule="auto"/>
              <w:ind w:left="170" w:hanging="17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3.1 of this Schedule;</w:t>
            </w:r>
          </w:p>
        </w:tc>
      </w:tr>
      <w:tr>
        <w:trPr>
          <w:cantSplit w:val="0"/>
          <w:tblHeader w:val="0"/>
        </w:trPr>
        <w:tc>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"Exit Manager"</w:t>
            </w:r>
          </w:p>
        </w:tc>
        <w:tc>
          <w:tcPr/>
          <w:p w:rsidR="00000000" w:rsidDel="00000000" w:rsidP="00000000" w:rsidRDefault="00000000" w:rsidRPr="00000000" w14:paraId="0000000C">
            <w:pPr>
              <w:numPr>
                <w:ilvl w:val="0"/>
                <w:numId w:val="2"/>
              </w:numPr>
              <w:pBdr>
                <w:top w:space="0" w:sz="0" w:val="nil"/>
                <w:left w:space="0" w:sz="0" w:val="nil"/>
                <w:bottom w:space="0" w:sz="0" w:val="nil"/>
                <w:right w:space="0" w:sz="0" w:val="nil"/>
                <w:between w:space="0" w:sz="0" w:val="nil"/>
              </w:pBdr>
              <w:tabs>
                <w:tab w:val="left" w:pos="-9"/>
              </w:tabs>
              <w:spacing w:after="120" w:line="240" w:lineRule="auto"/>
              <w:ind w:left="170" w:hanging="17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appointed by each Party to manage their respective obligations under this Schedule;</w:t>
            </w:r>
          </w:p>
        </w:tc>
      </w:tr>
      <w:tr>
        <w:trPr>
          <w:cantSplit w:val="0"/>
          <w:tblHeader w:val="0"/>
        </w:trPr>
        <w:tc>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“Exit Plan”</w:t>
            </w:r>
          </w:p>
        </w:tc>
        <w:tc>
          <w:tcPr/>
          <w:p w:rsidR="00000000" w:rsidDel="00000000" w:rsidP="00000000" w:rsidRDefault="00000000" w:rsidRPr="00000000" w14:paraId="0000000E">
            <w:pPr>
              <w:numPr>
                <w:ilvl w:val="0"/>
                <w:numId w:val="2"/>
              </w:numPr>
              <w:pBdr>
                <w:top w:space="0" w:sz="0" w:val="nil"/>
                <w:left w:space="0" w:sz="0" w:val="nil"/>
                <w:bottom w:space="0" w:sz="0" w:val="nil"/>
                <w:right w:space="0" w:sz="0" w:val="nil"/>
                <w:between w:space="0" w:sz="0" w:val="nil"/>
              </w:pBdr>
              <w:tabs>
                <w:tab w:val="left" w:pos="-9"/>
              </w:tabs>
              <w:spacing w:after="120" w:line="240" w:lineRule="auto"/>
              <w:ind w:left="170" w:hanging="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plan produced and updated by the Supplier during the Initial Period in accordance with Paragraph 4 of this Schedule;</w:t>
            </w:r>
          </w:p>
        </w:tc>
      </w:tr>
      <w:tr>
        <w:trPr>
          <w:cantSplit w:val="0"/>
          <w:tblHeader w:val="0"/>
        </w:trPr>
        <w:tc>
          <w:tcPr/>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"Net Book Value"</w:t>
            </w:r>
          </w:p>
        </w:tc>
        <w:tc>
          <w:tcPr/>
          <w:p w:rsidR="00000000" w:rsidDel="00000000" w:rsidP="00000000" w:rsidRDefault="00000000" w:rsidRPr="00000000" w14:paraId="00000010">
            <w:pPr>
              <w:numPr>
                <w:ilvl w:val="0"/>
                <w:numId w:val="2"/>
              </w:numPr>
              <w:pBdr>
                <w:top w:space="0" w:sz="0" w:val="nil"/>
                <w:left w:space="0" w:sz="0" w:val="nil"/>
                <w:bottom w:space="0" w:sz="0" w:val="nil"/>
                <w:right w:space="0" w:sz="0" w:val="nil"/>
                <w:between w:space="0" w:sz="0" w:val="nil"/>
              </w:pBdr>
              <w:tabs>
                <w:tab w:val="left" w:pos="-9"/>
              </w:tabs>
              <w:spacing w:after="120" w:line="240" w:lineRule="auto"/>
              <w:ind w:left="170" w:hanging="17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current net book value of the relevant Supplier Asset(s) calculated in accordance with the Framework Tender or Call-Off  Tender (if stated) or (if not stated) the depreciation policy of the Supplier (which the Supplier shall ensure is in accordance with Good Industry Practice);</w:t>
            </w:r>
          </w:p>
        </w:tc>
      </w:tr>
      <w:tr>
        <w:trPr>
          <w:cantSplit w:val="0"/>
          <w:tblHeader w:val="0"/>
        </w:trPr>
        <w:tc>
          <w:tcPr/>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"Non-Exclusive Assets"</w:t>
            </w:r>
          </w:p>
        </w:tc>
        <w:tc>
          <w:tcPr/>
          <w:p w:rsidR="00000000" w:rsidDel="00000000" w:rsidP="00000000" w:rsidRDefault="00000000" w:rsidRPr="00000000" w14:paraId="00000012">
            <w:pPr>
              <w:numPr>
                <w:ilvl w:val="0"/>
                <w:numId w:val="2"/>
              </w:numPr>
              <w:pBdr>
                <w:top w:space="0" w:sz="0" w:val="nil"/>
                <w:left w:space="0" w:sz="0" w:val="nil"/>
                <w:bottom w:space="0" w:sz="0" w:val="nil"/>
                <w:right w:space="0" w:sz="0" w:val="nil"/>
                <w:between w:space="0" w:sz="0" w:val="nil"/>
              </w:pBdr>
              <w:tabs>
                <w:tab w:val="left" w:pos="-9"/>
              </w:tabs>
              <w:spacing w:after="120" w:line="240" w:lineRule="auto"/>
              <w:ind w:left="170" w:hanging="17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Supplier Assets used by the Supplier [</w:t>
            </w:r>
            <w:r w:rsidDel="00000000" w:rsidR="00000000" w:rsidRPr="00000000">
              <w:rPr>
                <w:rFonts w:ascii="Arial" w:cs="Arial" w:eastAsia="Arial" w:hAnsi="Arial"/>
                <w:color w:val="000000"/>
                <w:sz w:val="24"/>
                <w:szCs w:val="24"/>
                <w:highlight w:val="yellow"/>
                <w:rtl w:val="0"/>
              </w:rPr>
              <w:t xml:space="preserve">or a Key Subcontractor</w:t>
            </w:r>
            <w:r w:rsidDel="00000000" w:rsidR="00000000" w:rsidRPr="00000000">
              <w:rPr>
                <w:rFonts w:ascii="Arial" w:cs="Arial" w:eastAsia="Arial" w:hAnsi="Arial"/>
                <w:color w:val="000000"/>
                <w:sz w:val="24"/>
                <w:szCs w:val="24"/>
                <w:rtl w:val="0"/>
              </w:rPr>
              <w:t xml:space="preserve">] in connection with the Deliverables but which are also used by the Supplier </w:t>
            </w:r>
            <w:r w:rsidDel="00000000" w:rsidR="00000000" w:rsidRPr="00000000">
              <w:rPr>
                <w:rFonts w:ascii="Arial" w:cs="Arial" w:eastAsia="Arial" w:hAnsi="Arial"/>
                <w:color w:val="000000"/>
                <w:sz w:val="24"/>
                <w:szCs w:val="24"/>
                <w:highlight w:val="yellow"/>
                <w:rtl w:val="0"/>
              </w:rPr>
              <w:t xml:space="preserve">[or Key Subcontractor]</w:t>
            </w:r>
            <w:r w:rsidDel="00000000" w:rsidR="00000000" w:rsidRPr="00000000">
              <w:rPr>
                <w:rFonts w:ascii="Arial" w:cs="Arial" w:eastAsia="Arial" w:hAnsi="Arial"/>
                <w:color w:val="000000"/>
                <w:sz w:val="24"/>
                <w:szCs w:val="24"/>
                <w:rtl w:val="0"/>
              </w:rPr>
              <w:t xml:space="preserve"> for other purposes;</w:t>
            </w:r>
          </w:p>
        </w:tc>
      </w:tr>
      <w:tr>
        <w:trPr>
          <w:cantSplit w:val="0"/>
          <w:tblHeader w:val="0"/>
        </w:trPr>
        <w:tc>
          <w:tcPr/>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"Registers"</w:t>
            </w:r>
          </w:p>
        </w:tc>
        <w:tc>
          <w:tcPr/>
          <w:p w:rsidR="00000000" w:rsidDel="00000000" w:rsidP="00000000" w:rsidRDefault="00000000" w:rsidRPr="00000000" w14:paraId="00000014">
            <w:pPr>
              <w:numPr>
                <w:ilvl w:val="0"/>
                <w:numId w:val="2"/>
              </w:numPr>
              <w:pBdr>
                <w:top w:space="0" w:sz="0" w:val="nil"/>
                <w:left w:space="0" w:sz="0" w:val="nil"/>
                <w:bottom w:space="0" w:sz="0" w:val="nil"/>
                <w:right w:space="0" w:sz="0" w:val="nil"/>
                <w:between w:space="0" w:sz="0" w:val="nil"/>
              </w:pBdr>
              <w:tabs>
                <w:tab w:val="left" w:pos="-9"/>
              </w:tabs>
              <w:spacing w:after="120" w:line="240" w:lineRule="auto"/>
              <w:ind w:left="170" w:hanging="17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register and configuration database referred to in Paragraph 2.2 of this Schedule; </w:t>
            </w:r>
          </w:p>
        </w:tc>
      </w:tr>
      <w:tr>
        <w:trPr>
          <w:cantSplit w:val="0"/>
          <w:tblHeader w:val="0"/>
        </w:trPr>
        <w:tc>
          <w:tcPr/>
          <w:p w:rsidR="00000000" w:rsidDel="00000000" w:rsidP="00000000" w:rsidRDefault="00000000" w:rsidRPr="00000000" w14:paraId="00000015">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Goods"</w:t>
            </w:r>
          </w:p>
        </w:tc>
        <w:tc>
          <w:tcPr/>
          <w:p w:rsidR="00000000" w:rsidDel="00000000" w:rsidP="00000000" w:rsidRDefault="00000000" w:rsidRPr="00000000" w14:paraId="00000016">
            <w:pPr>
              <w:numPr>
                <w:ilvl w:val="0"/>
                <w:numId w:val="2"/>
              </w:numPr>
              <w:pBdr>
                <w:top w:space="0" w:sz="0" w:val="nil"/>
                <w:left w:space="0" w:sz="0" w:val="nil"/>
                <w:bottom w:space="0" w:sz="0" w:val="nil"/>
                <w:right w:space="0" w:sz="0" w:val="nil"/>
                <w:between w:space="0" w:sz="0" w:val="nil"/>
              </w:pBdr>
              <w:tabs>
                <w:tab w:val="left" w:pos="-9"/>
              </w:tabs>
              <w:spacing w:after="120" w:line="240" w:lineRule="auto"/>
              <w:ind w:left="170" w:hanging="17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goods which are substantially similar to any of the Goods and which the Buyer receives in substitution for any of the Goods following the End Date, whether those goods are provided by the Buyer internally and/or by any third party;</w:t>
            </w:r>
          </w:p>
        </w:tc>
      </w:tr>
      <w:tr>
        <w:trPr>
          <w:cantSplit w:val="0"/>
          <w:tblHeader w:val="0"/>
        </w:trPr>
        <w:tc>
          <w:tcPr/>
          <w:p w:rsidR="00000000" w:rsidDel="00000000" w:rsidP="00000000" w:rsidRDefault="00000000" w:rsidRPr="00000000" w14:paraId="00000017">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Services"</w:t>
            </w:r>
          </w:p>
        </w:tc>
        <w:tc>
          <w:tcPr/>
          <w:p w:rsidR="00000000" w:rsidDel="00000000" w:rsidP="00000000" w:rsidRDefault="00000000" w:rsidRPr="00000000" w14:paraId="00000018">
            <w:pPr>
              <w:numPr>
                <w:ilvl w:val="0"/>
                <w:numId w:val="2"/>
              </w:numPr>
              <w:pBdr>
                <w:top w:space="0" w:sz="0" w:val="nil"/>
                <w:left w:space="0" w:sz="0" w:val="nil"/>
                <w:bottom w:space="0" w:sz="0" w:val="nil"/>
                <w:right w:space="0" w:sz="0" w:val="nil"/>
                <w:between w:space="0" w:sz="0" w:val="nil"/>
              </w:pBdr>
              <w:tabs>
                <w:tab w:val="left" w:pos="-9"/>
              </w:tabs>
              <w:spacing w:after="120" w:line="240" w:lineRule="auto"/>
              <w:ind w:left="170" w:hanging="17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services which are substantially similar to any of the Services and which the Buyer receives in substitution for any of the Services following the End Date, whether those goods are provided by the Buyer internally and/or by any third party;</w:t>
            </w:r>
          </w:p>
        </w:tc>
      </w:tr>
      <w:tr>
        <w:trPr>
          <w:cantSplit w:val="0"/>
          <w:tblHeader w:val="0"/>
        </w:trPr>
        <w:tc>
          <w:tcPr/>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Assistance"</w:t>
            </w:r>
          </w:p>
        </w:tc>
        <w:tc>
          <w:tcPr/>
          <w:p w:rsidR="00000000" w:rsidDel="00000000" w:rsidP="00000000" w:rsidRDefault="00000000" w:rsidRPr="00000000" w14:paraId="0000001A">
            <w:pPr>
              <w:numPr>
                <w:ilvl w:val="0"/>
                <w:numId w:val="2"/>
              </w:numPr>
              <w:pBdr>
                <w:top w:space="0" w:sz="0" w:val="nil"/>
                <w:left w:space="0" w:sz="0" w:val="nil"/>
                <w:bottom w:space="0" w:sz="0" w:val="nil"/>
                <w:right w:space="0" w:sz="0" w:val="nil"/>
                <w:between w:space="0" w:sz="0" w:val="nil"/>
              </w:pBdr>
              <w:tabs>
                <w:tab w:val="left" w:pos="-9"/>
              </w:tabs>
              <w:spacing w:after="120" w:line="240" w:lineRule="auto"/>
              <w:ind w:left="170" w:hanging="17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activities to be performed by the Supplier pursuant to the Exit Plan, and other assistance required by the Buyer pursuant to the Termination Assistance Notice;</w:t>
            </w:r>
          </w:p>
        </w:tc>
      </w:tr>
      <w:tr>
        <w:trPr>
          <w:cantSplit w:val="0"/>
          <w:tblHeader w:val="0"/>
        </w:trPr>
        <w:tc>
          <w:tcPr/>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Assistance Notice"</w:t>
            </w:r>
          </w:p>
        </w:tc>
        <w:tc>
          <w:tcPr/>
          <w:p w:rsidR="00000000" w:rsidDel="00000000" w:rsidP="00000000" w:rsidRDefault="00000000" w:rsidRPr="00000000" w14:paraId="0000001C">
            <w:pPr>
              <w:numPr>
                <w:ilvl w:val="0"/>
                <w:numId w:val="2"/>
              </w:numPr>
              <w:pBdr>
                <w:top w:space="0" w:sz="0" w:val="nil"/>
                <w:left w:space="0" w:sz="0" w:val="nil"/>
                <w:bottom w:space="0" w:sz="0" w:val="nil"/>
                <w:right w:space="0" w:sz="0" w:val="nil"/>
                <w:between w:space="0" w:sz="0" w:val="nil"/>
              </w:pBdr>
              <w:tabs>
                <w:tab w:val="left" w:pos="-9"/>
              </w:tabs>
              <w:spacing w:after="120" w:line="240" w:lineRule="auto"/>
              <w:ind w:left="170" w:hanging="17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5.1 of this Schedule;</w:t>
            </w:r>
          </w:p>
        </w:tc>
      </w:tr>
      <w:tr>
        <w:trPr>
          <w:cantSplit w:val="0"/>
          <w:tblHeader w:val="0"/>
        </w:trPr>
        <w:tc>
          <w:tcPr/>
          <w:p w:rsidR="00000000" w:rsidDel="00000000" w:rsidP="00000000" w:rsidRDefault="00000000" w:rsidRPr="00000000" w14:paraId="0000001D">
            <w:pPr>
              <w:keepNext w:val="1"/>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Assistance Period"</w:t>
            </w:r>
          </w:p>
        </w:tc>
        <w:tc>
          <w:tcPr/>
          <w:p w:rsidR="00000000" w:rsidDel="00000000" w:rsidP="00000000" w:rsidRDefault="00000000" w:rsidRPr="00000000" w14:paraId="0000001E">
            <w:pPr>
              <w:numPr>
                <w:ilvl w:val="0"/>
                <w:numId w:val="2"/>
              </w:numPr>
              <w:pBdr>
                <w:top w:space="0" w:sz="0" w:val="nil"/>
                <w:left w:space="0" w:sz="0" w:val="nil"/>
                <w:bottom w:space="0" w:sz="0" w:val="nil"/>
                <w:right w:space="0" w:sz="0" w:val="nil"/>
                <w:between w:space="0" w:sz="0" w:val="nil"/>
              </w:pBdr>
              <w:tabs>
                <w:tab w:val="left" w:pos="-9"/>
              </w:tabs>
              <w:spacing w:after="120" w:line="240" w:lineRule="auto"/>
              <w:ind w:left="170" w:hanging="17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period specified in a Termination Assistance Notice for which the Supplier is required to provide the Termination Assistance as such period may be extended pursuant to Paragraph 5.2 of this Schedule;</w:t>
            </w:r>
          </w:p>
        </w:tc>
      </w:tr>
      <w:tr>
        <w:trPr>
          <w:cantSplit w:val="0"/>
          <w:tblHeader w:val="0"/>
        </w:trPr>
        <w:tc>
          <w:tcPr/>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"Transferable Assets"</w:t>
            </w:r>
          </w:p>
        </w:tc>
        <w:tc>
          <w:tcPr/>
          <w:p w:rsidR="00000000" w:rsidDel="00000000" w:rsidP="00000000" w:rsidRDefault="00000000" w:rsidRPr="00000000" w14:paraId="00000020">
            <w:pPr>
              <w:numPr>
                <w:ilvl w:val="0"/>
                <w:numId w:val="2"/>
              </w:numPr>
              <w:pBdr>
                <w:top w:space="0" w:sz="0" w:val="nil"/>
                <w:left w:space="0" w:sz="0" w:val="nil"/>
                <w:bottom w:space="0" w:sz="0" w:val="nil"/>
                <w:right w:space="0" w:sz="0" w:val="nil"/>
                <w:between w:space="0" w:sz="0" w:val="nil"/>
              </w:pBdr>
              <w:tabs>
                <w:tab w:val="left" w:pos="-9"/>
              </w:tabs>
              <w:spacing w:after="120" w:line="240" w:lineRule="auto"/>
              <w:ind w:left="170" w:hanging="17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Exclusive Assets which are capable of legal transfer to the Buyer;</w:t>
            </w:r>
          </w:p>
        </w:tc>
      </w:tr>
      <w:tr>
        <w:trPr>
          <w:cantSplit w:val="0"/>
          <w:tblHeader w:val="0"/>
        </w:trPr>
        <w:tc>
          <w:tcPr/>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"Transferable Contracts"</w:t>
            </w:r>
          </w:p>
        </w:tc>
        <w:tc>
          <w:tcPr/>
          <w:p w:rsidR="00000000" w:rsidDel="00000000" w:rsidP="00000000" w:rsidRDefault="00000000" w:rsidRPr="00000000" w14:paraId="00000022">
            <w:pPr>
              <w:numPr>
                <w:ilvl w:val="0"/>
                <w:numId w:val="2"/>
              </w:numPr>
              <w:pBdr>
                <w:top w:space="0" w:sz="0" w:val="nil"/>
                <w:left w:space="0" w:sz="0" w:val="nil"/>
                <w:bottom w:space="0" w:sz="0" w:val="nil"/>
                <w:right w:space="0" w:sz="0" w:val="nil"/>
                <w:between w:space="0" w:sz="0" w:val="nil"/>
              </w:pBdr>
              <w:tabs>
                <w:tab w:val="left" w:pos="-9"/>
              </w:tabs>
              <w:spacing w:after="120" w:line="240" w:lineRule="auto"/>
              <w:ind w:left="170" w:hanging="17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trPr>
          <w:cantSplit w:val="0"/>
          <w:tblHeader w:val="0"/>
        </w:trPr>
        <w:tc>
          <w:tcPr/>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"Transferring Assets"</w:t>
            </w:r>
          </w:p>
        </w:tc>
        <w:tc>
          <w:tcPr/>
          <w:p w:rsidR="00000000" w:rsidDel="00000000" w:rsidP="00000000" w:rsidRDefault="00000000" w:rsidRPr="00000000" w14:paraId="00000024">
            <w:pPr>
              <w:numPr>
                <w:ilvl w:val="0"/>
                <w:numId w:val="2"/>
              </w:numPr>
              <w:pBdr>
                <w:top w:space="0" w:sz="0" w:val="nil"/>
                <w:left w:space="0" w:sz="0" w:val="nil"/>
                <w:bottom w:space="0" w:sz="0" w:val="nil"/>
                <w:right w:space="0" w:sz="0" w:val="nil"/>
                <w:between w:space="0" w:sz="0" w:val="nil"/>
              </w:pBdr>
              <w:tabs>
                <w:tab w:val="left" w:pos="-9"/>
              </w:tabs>
              <w:spacing w:after="120" w:line="240" w:lineRule="auto"/>
              <w:ind w:left="170" w:hanging="17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8.2.1 of this Schedule;</w:t>
            </w:r>
          </w:p>
        </w:tc>
      </w:tr>
      <w:tr>
        <w:trPr>
          <w:cantSplit w:val="0"/>
          <w:tblHeader w:val="0"/>
        </w:trPr>
        <w:tc>
          <w:tcPr/>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"Transferring Contracts"</w:t>
            </w:r>
          </w:p>
        </w:tc>
        <w:tc>
          <w:tcPr/>
          <w:p w:rsidR="00000000" w:rsidDel="00000000" w:rsidP="00000000" w:rsidRDefault="00000000" w:rsidRPr="00000000" w14:paraId="00000026">
            <w:pPr>
              <w:numPr>
                <w:ilvl w:val="0"/>
                <w:numId w:val="2"/>
              </w:numPr>
              <w:pBdr>
                <w:top w:space="0" w:sz="0" w:val="nil"/>
                <w:left w:space="0" w:sz="0" w:val="nil"/>
                <w:bottom w:space="0" w:sz="0" w:val="nil"/>
                <w:right w:space="0" w:sz="0" w:val="nil"/>
                <w:between w:space="0" w:sz="0" w:val="nil"/>
              </w:pBdr>
              <w:tabs>
                <w:tab w:val="left" w:pos="-9"/>
              </w:tabs>
              <w:spacing w:after="120" w:line="240" w:lineRule="auto"/>
              <w:ind w:left="170" w:hanging="17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8.2.3 of this Schedule.</w:t>
            </w:r>
          </w:p>
        </w:tc>
      </w:tr>
    </w:tbl>
    <w:p w:rsidR="00000000" w:rsidDel="00000000" w:rsidP="00000000" w:rsidRDefault="00000000" w:rsidRPr="00000000" w14:paraId="00000027">
      <w:pPr>
        <w:keepNext w:val="1"/>
        <w:numPr>
          <w:ilvl w:val="0"/>
          <w:numId w:val="1"/>
        </w:numPr>
        <w:pBdr>
          <w:top w:space="0" w:sz="0" w:val="nil"/>
          <w:left w:space="0" w:sz="0" w:val="nil"/>
          <w:bottom w:space="0" w:sz="0" w:val="nil"/>
          <w:right w:space="0" w:sz="0" w:val="nil"/>
          <w:between w:space="0" w:sz="0" w:val="nil"/>
        </w:pBdr>
        <w:tabs>
          <w:tab w:val="left" w:pos="0"/>
        </w:tabs>
        <w:spacing w:after="240" w:before="240" w:line="240" w:lineRule="auto"/>
        <w:ind w:left="644" w:hanging="36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Supplier must always be prepared for contract exit </w:t>
      </w:r>
      <w:r w:rsidDel="00000000" w:rsidR="00000000" w:rsidRPr="00000000">
        <w:rPr>
          <w:rtl w:val="0"/>
        </w:rPr>
      </w:r>
    </w:p>
    <w:p w:rsidR="00000000" w:rsidDel="00000000" w:rsidP="00000000" w:rsidRDefault="00000000" w:rsidRPr="00000000" w14:paraId="00000028">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gjdgxs" w:id="1"/>
      <w:bookmarkEnd w:id="1"/>
      <w:r w:rsidDel="00000000" w:rsidR="00000000" w:rsidRPr="00000000">
        <w:rPr>
          <w:rFonts w:ascii="Arial" w:cs="Arial" w:eastAsia="Arial" w:hAnsi="Arial"/>
          <w:color w:val="000000"/>
          <w:sz w:val="24"/>
          <w:szCs w:val="24"/>
          <w:rtl w:val="0"/>
        </w:rPr>
        <w:t xml:space="preserve">The Supplier shall within 30 days from the Start Date provide to the Buyer a copy of its depreciation policy to be used for the purposes of calculating Net Book Value.</w:t>
      </w:r>
    </w:p>
    <w:p w:rsidR="00000000" w:rsidDel="00000000" w:rsidP="00000000" w:rsidRDefault="00000000" w:rsidRPr="00000000" w14:paraId="00000029">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30j0zll" w:id="2"/>
      <w:bookmarkEnd w:id="2"/>
      <w:r w:rsidDel="00000000" w:rsidR="00000000" w:rsidRPr="00000000">
        <w:rPr>
          <w:rFonts w:ascii="Arial" w:cs="Arial" w:eastAsia="Arial" w:hAnsi="Arial"/>
          <w:color w:val="000000"/>
          <w:sz w:val="24"/>
          <w:szCs w:val="24"/>
          <w:rtl w:val="0"/>
        </w:rPr>
        <w:t xml:space="preserve">During the Contract Period, the Supplier shall promptly:</w:t>
      </w:r>
    </w:p>
    <w:p w:rsidR="00000000" w:rsidDel="00000000" w:rsidP="00000000" w:rsidRDefault="00000000" w:rsidRPr="00000000" w14:paraId="0000002A">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bookmarkStart w:colFirst="0" w:colLast="0" w:name="_heading=h.1fob9te" w:id="3"/>
      <w:bookmarkEnd w:id="3"/>
      <w:r w:rsidDel="00000000" w:rsidR="00000000" w:rsidRPr="00000000">
        <w:rPr>
          <w:rFonts w:ascii="Arial" w:cs="Arial" w:eastAsia="Arial" w:hAnsi="Arial"/>
          <w:color w:val="000000"/>
          <w:sz w:val="24"/>
          <w:szCs w:val="24"/>
          <w:rtl w:val="0"/>
        </w:rPr>
        <w:t xml:space="preserve">create and maintain a detailed register of all Supplier Assets (including description, condition, location and details of ownership and status as either Exclusive Assets or Non-Exclusive Assets and Net Book Value) and Sub-contracts and other relevant agreements required in connection with the Deliverables; and</w:t>
      </w:r>
    </w:p>
    <w:p w:rsidR="00000000" w:rsidDel="00000000" w:rsidP="00000000" w:rsidRDefault="00000000" w:rsidRPr="00000000" w14:paraId="0000002B">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bookmarkStart w:colFirst="0" w:colLast="0" w:name="_heading=h.3znysh7" w:id="4"/>
      <w:bookmarkEnd w:id="4"/>
      <w:r w:rsidDel="00000000" w:rsidR="00000000" w:rsidRPr="00000000">
        <w:rPr>
          <w:rFonts w:ascii="Arial" w:cs="Arial" w:eastAsia="Arial" w:hAnsi="Arial"/>
          <w:color w:val="000000"/>
          <w:sz w:val="24"/>
          <w:szCs w:val="24"/>
          <w:rtl w:val="0"/>
        </w:rPr>
        <w:t xml:space="preserve">create and maintain a configuration database detailing the technical infrastructure and operating procedures through which the Supplier provides the Deliverables </w:t>
      </w:r>
    </w:p>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129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rtl w:val="0"/>
        </w:rPr>
        <w:t xml:space="preserve">Registers</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2D">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w:t>
      </w:r>
    </w:p>
    <w:p w:rsidR="00000000" w:rsidDel="00000000" w:rsidP="00000000" w:rsidRDefault="00000000" w:rsidRPr="00000000" w14:paraId="0000002E">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ensure that all Exclusive Assets listed in the Registers are clearly physically identified as such; and</w:t>
      </w:r>
    </w:p>
    <w:p w:rsidR="00000000" w:rsidDel="00000000" w:rsidP="00000000" w:rsidRDefault="00000000" w:rsidRPr="00000000" w14:paraId="0000002F">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bookmarkStart w:colFirst="0" w:colLast="0" w:name="_heading=h.2et92p0" w:id="5"/>
      <w:bookmarkEnd w:id="5"/>
      <w:r w:rsidDel="00000000" w:rsidR="00000000" w:rsidRPr="00000000">
        <w:rPr>
          <w:rFonts w:ascii="Arial" w:cs="Arial" w:eastAsia="Arial" w:hAnsi="Arial"/>
          <w:color w:val="000000"/>
          <w:sz w:val="24"/>
          <w:szCs w:val="24"/>
          <w:rtl w:val="0"/>
        </w:rPr>
        <w:t xml:space="preserve">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 </w:t>
      </w:r>
    </w:p>
    <w:p w:rsidR="00000000" w:rsidDel="00000000" w:rsidP="00000000" w:rsidRDefault="00000000" w:rsidRPr="00000000" w14:paraId="00000030">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tyjcwt" w:id="6"/>
      <w:bookmarkEnd w:id="6"/>
      <w:r w:rsidDel="00000000" w:rsidR="00000000" w:rsidRPr="00000000">
        <w:rPr>
          <w:rFonts w:ascii="Arial" w:cs="Arial" w:eastAsia="Arial" w:hAnsi="Arial"/>
          <w:color w:val="000000"/>
          <w:sz w:val="24"/>
          <w:szCs w:val="24"/>
          <w:rtl w:val="0"/>
        </w:rPr>
        <w:t xml:space="preserve">Each Party shall appoint an Exit Manager within three (3) Months of the Start Date. The Parties' Exit Managers will liaise with one another in relation to all issues relevant to the expiry or termination of this Contract.</w:t>
      </w:r>
    </w:p>
    <w:p w:rsidR="00000000" w:rsidDel="00000000" w:rsidP="00000000" w:rsidRDefault="00000000" w:rsidRPr="00000000" w14:paraId="00000031">
      <w:pPr>
        <w:keepNext w:val="1"/>
        <w:numPr>
          <w:ilvl w:val="0"/>
          <w:numId w:val="1"/>
        </w:numPr>
        <w:pBdr>
          <w:top w:space="0" w:sz="0" w:val="nil"/>
          <w:left w:space="0" w:sz="0" w:val="nil"/>
          <w:bottom w:space="0" w:sz="0" w:val="nil"/>
          <w:right w:space="0" w:sz="0" w:val="nil"/>
          <w:between w:space="0" w:sz="0" w:val="nil"/>
        </w:pBdr>
        <w:tabs>
          <w:tab w:val="left" w:pos="0"/>
        </w:tabs>
        <w:spacing w:after="240" w:before="240" w:line="240" w:lineRule="auto"/>
        <w:ind w:left="644"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Assisting re-competition for Deliverables </w:t>
      </w:r>
    </w:p>
    <w:p w:rsidR="00000000" w:rsidDel="00000000" w:rsidP="00000000" w:rsidRDefault="00000000" w:rsidRPr="00000000" w14:paraId="00000032">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3dy6vkm" w:id="7"/>
      <w:bookmarkEnd w:id="7"/>
      <w:r w:rsidDel="00000000" w:rsidR="00000000" w:rsidRPr="00000000">
        <w:rPr>
          <w:rFonts w:ascii="Arial" w:cs="Arial" w:eastAsia="Arial" w:hAnsi="Arial"/>
          <w:color w:val="000000"/>
          <w:sz w:val="24"/>
          <w:szCs w:val="24"/>
          <w:rtl w:val="0"/>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(the "</w:t>
      </w:r>
      <w:r w:rsidDel="00000000" w:rsidR="00000000" w:rsidRPr="00000000">
        <w:rPr>
          <w:rFonts w:ascii="Arial" w:cs="Arial" w:eastAsia="Arial" w:hAnsi="Arial"/>
          <w:b w:val="1"/>
          <w:color w:val="000000"/>
          <w:sz w:val="24"/>
          <w:szCs w:val="24"/>
          <w:rtl w:val="0"/>
        </w:rPr>
        <w:t xml:space="preserve">Exit Information</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33">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1t3h5sf" w:id="8"/>
      <w:bookmarkEnd w:id="8"/>
      <w:r w:rsidDel="00000000" w:rsidR="00000000" w:rsidRPr="00000000">
        <w:rPr>
          <w:rFonts w:ascii="Arial" w:cs="Arial" w:eastAsia="Arial" w:hAnsi="Arial"/>
          <w:color w:val="000000"/>
          <w:sz w:val="24"/>
          <w:szCs w:val="24"/>
          <w:rtl w:val="0"/>
        </w:rPr>
        <w:t xml:space="preserve">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p>
    <w:p w:rsidR="00000000" w:rsidDel="00000000" w:rsidP="00000000" w:rsidRDefault="00000000" w:rsidRPr="00000000" w14:paraId="00000034">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rsidR="00000000" w:rsidDel="00000000" w:rsidP="00000000" w:rsidRDefault="00000000" w:rsidRPr="00000000" w14:paraId="00000035">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Exit Information shall be accurate and complete in all material respects and shall be sufficient to enable a third party to prepare an informed offer for those Deliverables; and not be disadvantaged in any procurement process compared to the Supplier.</w:t>
      </w:r>
    </w:p>
    <w:p w:rsidR="00000000" w:rsidDel="00000000" w:rsidP="00000000" w:rsidRDefault="00000000" w:rsidRPr="00000000" w14:paraId="00000036">
      <w:pPr>
        <w:keepNext w:val="1"/>
        <w:numPr>
          <w:ilvl w:val="0"/>
          <w:numId w:val="1"/>
        </w:numPr>
        <w:pBdr>
          <w:top w:space="0" w:sz="0" w:val="nil"/>
          <w:left w:space="0" w:sz="0" w:val="nil"/>
          <w:bottom w:space="0" w:sz="0" w:val="nil"/>
          <w:right w:space="0" w:sz="0" w:val="nil"/>
          <w:between w:space="0" w:sz="0" w:val="nil"/>
        </w:pBdr>
        <w:tabs>
          <w:tab w:val="left" w:pos="0"/>
        </w:tabs>
        <w:spacing w:after="240" w:before="240" w:line="240" w:lineRule="auto"/>
        <w:ind w:left="644"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Exit Plan</w:t>
      </w:r>
    </w:p>
    <w:p w:rsidR="00000000" w:rsidDel="00000000" w:rsidP="00000000" w:rsidRDefault="00000000" w:rsidRPr="00000000" w14:paraId="00000037">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4d34og8" w:id="9"/>
      <w:bookmarkEnd w:id="9"/>
      <w:r w:rsidDel="00000000" w:rsidR="00000000" w:rsidRPr="00000000">
        <w:rPr>
          <w:rFonts w:ascii="Arial" w:cs="Arial" w:eastAsia="Arial" w:hAnsi="Arial"/>
          <w:color w:val="000000"/>
          <w:sz w:val="24"/>
          <w:szCs w:val="24"/>
          <w:rtl w:val="0"/>
        </w:rPr>
        <w:t xml:space="preserve">The Supplier shall, within three (3) Months after the Start Date, deliver to the Buyer an Exit Plan which complies with the requirements set out in Paragraph 4.3 of this Schedule and is otherwise reasonably satisfactory to the Buyer.</w:t>
      </w:r>
    </w:p>
    <w:p w:rsidR="00000000" w:rsidDel="00000000" w:rsidP="00000000" w:rsidRDefault="00000000" w:rsidRPr="00000000" w14:paraId="00000038">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2s8eyo1" w:id="10"/>
      <w:bookmarkEnd w:id="10"/>
      <w:r w:rsidDel="00000000" w:rsidR="00000000" w:rsidRPr="00000000">
        <w:rPr>
          <w:rFonts w:ascii="Arial" w:cs="Arial" w:eastAsia="Arial" w:hAnsi="Arial"/>
          <w:color w:val="000000"/>
          <w:sz w:val="24"/>
          <w:szCs w:val="24"/>
          <w:rtl w:val="0"/>
        </w:rPr>
        <w:t xml:space="preserve">The Parties shall use reasonable endeavours to agree the contents of the Exit Plan. If the Parties are unable to agree the contents of the Exit Plan within twenty (20) Working Days of the latest date for its submission pursuant to Paragraph 4.1, then such Dispute shall be resolved in accordance with the Dispute Resolution Procedure. </w:t>
      </w:r>
    </w:p>
    <w:p w:rsidR="00000000" w:rsidDel="00000000" w:rsidP="00000000" w:rsidRDefault="00000000" w:rsidRPr="00000000" w14:paraId="00000039">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17dp8vu" w:id="11"/>
      <w:bookmarkEnd w:id="11"/>
      <w:r w:rsidDel="00000000" w:rsidR="00000000" w:rsidRPr="00000000">
        <w:rPr>
          <w:rFonts w:ascii="Arial" w:cs="Arial" w:eastAsia="Arial" w:hAnsi="Arial"/>
          <w:color w:val="000000"/>
          <w:sz w:val="24"/>
          <w:szCs w:val="24"/>
          <w:rtl w:val="0"/>
        </w:rPr>
        <w:t xml:space="preserve">The Exit Plan shall set out, as a minimum:</w:t>
      </w:r>
    </w:p>
    <w:p w:rsidR="00000000" w:rsidDel="00000000" w:rsidP="00000000" w:rsidRDefault="00000000" w:rsidRPr="00000000" w14:paraId="0000003A">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detailed description of both the transfer and cessation processes, including a timetable; </w:t>
      </w:r>
    </w:p>
    <w:p w:rsidR="00000000" w:rsidDel="00000000" w:rsidP="00000000" w:rsidRDefault="00000000" w:rsidRPr="00000000" w14:paraId="0000003B">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how the Deliverables will transfer to the Replacement Supplier and/or the Buyer;</w:t>
      </w:r>
    </w:p>
    <w:p w:rsidR="00000000" w:rsidDel="00000000" w:rsidP="00000000" w:rsidRDefault="00000000" w:rsidRPr="00000000" w14:paraId="0000003C">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any contracts which will be available for transfer to the Buyer and/or the Replacement Supplier upon the Expiry Date together with any reasonable costs required to effect such transfer;</w:t>
      </w:r>
    </w:p>
    <w:p w:rsidR="00000000" w:rsidDel="00000000" w:rsidP="00000000" w:rsidRDefault="00000000" w:rsidRPr="00000000" w14:paraId="0000003D">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proposals for the training of key members of the Replacement Supplier’s staff in connection with the continuation of the provision of the Deliverables following the Expiry Date;</w:t>
      </w:r>
    </w:p>
    <w:p w:rsidR="00000000" w:rsidDel="00000000" w:rsidP="00000000" w:rsidRDefault="00000000" w:rsidRPr="00000000" w14:paraId="0000003E">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proposals for providing the Buyer or a Replacement Supplier copies of all documentation relating to the use and operation of the Deliverables and required for their continued use; </w:t>
      </w:r>
    </w:p>
    <w:p w:rsidR="00000000" w:rsidDel="00000000" w:rsidP="00000000" w:rsidRDefault="00000000" w:rsidRPr="00000000" w14:paraId="0000003F">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proposals for the assignment or novation of all services utilised by the Supplier in connection with the supply of the Deliverables;</w:t>
      </w:r>
    </w:p>
    <w:p w:rsidR="00000000" w:rsidDel="00000000" w:rsidP="00000000" w:rsidRDefault="00000000" w:rsidRPr="00000000" w14:paraId="00000040">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proposals for the identification and return of all Buyer Property in the possession of and/or control of the Supplier or any third party;</w:t>
      </w:r>
    </w:p>
    <w:p w:rsidR="00000000" w:rsidDel="00000000" w:rsidP="00000000" w:rsidRDefault="00000000" w:rsidRPr="00000000" w14:paraId="00000041">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proposals for the disposal of any redundant Deliverables and materials;</w:t>
      </w:r>
    </w:p>
    <w:p w:rsidR="00000000" w:rsidDel="00000000" w:rsidP="00000000" w:rsidRDefault="00000000" w:rsidRPr="00000000" w14:paraId="00000042">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how the Supplier will ensure that there is no disruption to or degradation of the Deliverables during the Termination Assistance Period; and</w:t>
      </w:r>
    </w:p>
    <w:p w:rsidR="00000000" w:rsidDel="00000000" w:rsidP="00000000" w:rsidRDefault="00000000" w:rsidRPr="00000000" w14:paraId="00000043">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information or assistance reasonably required by the Buyer or a Replacement Supplier.</w:t>
      </w:r>
    </w:p>
    <w:p w:rsidR="00000000" w:rsidDel="00000000" w:rsidP="00000000" w:rsidRDefault="00000000" w:rsidRPr="00000000" w14:paraId="00000044">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3rdcrjn" w:id="12"/>
      <w:bookmarkEnd w:id="12"/>
      <w:r w:rsidDel="00000000" w:rsidR="00000000" w:rsidRPr="00000000">
        <w:rPr>
          <w:rFonts w:ascii="Arial" w:cs="Arial" w:eastAsia="Arial" w:hAnsi="Arial"/>
          <w:color w:val="000000"/>
          <w:sz w:val="24"/>
          <w:szCs w:val="24"/>
          <w:rtl w:val="0"/>
        </w:rPr>
        <w:t xml:space="preserve">The Supplier shall:</w:t>
      </w:r>
    </w:p>
    <w:p w:rsidR="00000000" w:rsidDel="00000000" w:rsidP="00000000" w:rsidRDefault="00000000" w:rsidRPr="00000000" w14:paraId="00000045">
      <w:pPr>
        <w:keepNext w:val="1"/>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maintain and update the Exit Plan (and risk management plan) no less frequently than: </w:t>
      </w:r>
    </w:p>
    <w:p w:rsidR="00000000" w:rsidDel="00000000" w:rsidP="00000000" w:rsidRDefault="00000000" w:rsidRPr="00000000" w14:paraId="00000046">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327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every </w:t>
      </w:r>
      <w:r w:rsidDel="00000000" w:rsidR="00000000" w:rsidRPr="00000000">
        <w:rPr>
          <w:rFonts w:ascii="Arial" w:cs="Arial" w:eastAsia="Arial" w:hAnsi="Arial"/>
          <w:color w:val="000000"/>
          <w:sz w:val="24"/>
          <w:szCs w:val="24"/>
          <w:highlight w:val="yellow"/>
          <w:rtl w:val="0"/>
        </w:rPr>
        <w:t xml:space="preserve">[six (6) months]</w:t>
      </w:r>
      <w:r w:rsidDel="00000000" w:rsidR="00000000" w:rsidRPr="00000000">
        <w:rPr>
          <w:rFonts w:ascii="Arial" w:cs="Arial" w:eastAsia="Arial" w:hAnsi="Arial"/>
          <w:color w:val="000000"/>
          <w:sz w:val="24"/>
          <w:szCs w:val="24"/>
          <w:rtl w:val="0"/>
        </w:rPr>
        <w:t xml:space="preserve"> throughout the Contract Period; and</w:t>
      </w:r>
    </w:p>
    <w:p w:rsidR="00000000" w:rsidDel="00000000" w:rsidP="00000000" w:rsidRDefault="00000000" w:rsidRPr="00000000" w14:paraId="00000047">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3272" w:hanging="720"/>
        <w:rPr>
          <w:rFonts w:ascii="Arial" w:cs="Arial" w:eastAsia="Arial" w:hAnsi="Arial"/>
          <w:color w:val="000000"/>
          <w:sz w:val="24"/>
          <w:szCs w:val="24"/>
        </w:rPr>
      </w:pPr>
      <w:bookmarkStart w:colFirst="0" w:colLast="0" w:name="_heading=h.26in1rg" w:id="13"/>
      <w:bookmarkEnd w:id="13"/>
      <w:r w:rsidDel="00000000" w:rsidR="00000000" w:rsidRPr="00000000">
        <w:rPr>
          <w:rFonts w:ascii="Arial" w:cs="Arial" w:eastAsia="Arial" w:hAnsi="Arial"/>
          <w:color w:val="000000"/>
          <w:sz w:val="24"/>
          <w:szCs w:val="24"/>
          <w:rtl w:val="0"/>
        </w:rPr>
        <w:t xml:space="preserve">no later than [</w:t>
      </w:r>
      <w:r w:rsidDel="00000000" w:rsidR="00000000" w:rsidRPr="00000000">
        <w:rPr>
          <w:rFonts w:ascii="Arial" w:cs="Arial" w:eastAsia="Arial" w:hAnsi="Arial"/>
          <w:color w:val="000000"/>
          <w:sz w:val="24"/>
          <w:szCs w:val="24"/>
          <w:highlight w:val="yellow"/>
          <w:rtl w:val="0"/>
        </w:rPr>
        <w:t xml:space="preserve">twenty (20) Working Days</w:t>
      </w:r>
      <w:r w:rsidDel="00000000" w:rsidR="00000000" w:rsidRPr="00000000">
        <w:rPr>
          <w:rFonts w:ascii="Arial" w:cs="Arial" w:eastAsia="Arial" w:hAnsi="Arial"/>
          <w:color w:val="000000"/>
          <w:sz w:val="24"/>
          <w:szCs w:val="24"/>
          <w:rtl w:val="0"/>
        </w:rPr>
        <w:t xml:space="preserve">] after a request from the Buyer for an up-to-date copy of the Exit Plan; </w:t>
      </w:r>
    </w:p>
    <w:p w:rsidR="00000000" w:rsidDel="00000000" w:rsidP="00000000" w:rsidRDefault="00000000" w:rsidRPr="00000000" w14:paraId="00000048">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327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soon as reasonably possible following a Termination Assistance Notice, and in any event no later than [</w:t>
      </w:r>
      <w:r w:rsidDel="00000000" w:rsidR="00000000" w:rsidRPr="00000000">
        <w:rPr>
          <w:rFonts w:ascii="Arial" w:cs="Arial" w:eastAsia="Arial" w:hAnsi="Arial"/>
          <w:color w:val="000000"/>
          <w:sz w:val="24"/>
          <w:szCs w:val="24"/>
          <w:highlight w:val="yellow"/>
          <w:rtl w:val="0"/>
        </w:rPr>
        <w:t xml:space="preserve">ten (10) Working Days]</w:t>
      </w:r>
      <w:r w:rsidDel="00000000" w:rsidR="00000000" w:rsidRPr="00000000">
        <w:rPr>
          <w:rFonts w:ascii="Arial" w:cs="Arial" w:eastAsia="Arial" w:hAnsi="Arial"/>
          <w:color w:val="000000"/>
          <w:sz w:val="24"/>
          <w:szCs w:val="24"/>
          <w:rtl w:val="0"/>
        </w:rPr>
        <w:t xml:space="preserve"> after the date of the Termination Assistance Notice;</w:t>
      </w:r>
    </w:p>
    <w:p w:rsidR="00000000" w:rsidDel="00000000" w:rsidP="00000000" w:rsidRDefault="00000000" w:rsidRPr="00000000" w14:paraId="00000049">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327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soon as reasonably possible following, and in any event no later than [</w:t>
      </w:r>
      <w:r w:rsidDel="00000000" w:rsidR="00000000" w:rsidRPr="00000000">
        <w:rPr>
          <w:rFonts w:ascii="Arial" w:cs="Arial" w:eastAsia="Arial" w:hAnsi="Arial"/>
          <w:color w:val="000000"/>
          <w:sz w:val="24"/>
          <w:szCs w:val="24"/>
          <w:highlight w:val="yellow"/>
          <w:rtl w:val="0"/>
        </w:rPr>
        <w:t xml:space="preserve">twenty (20) Working Days</w:t>
      </w:r>
      <w:r w:rsidDel="00000000" w:rsidR="00000000" w:rsidRPr="00000000">
        <w:rPr>
          <w:rFonts w:ascii="Arial" w:cs="Arial" w:eastAsia="Arial" w:hAnsi="Arial"/>
          <w:color w:val="000000"/>
          <w:sz w:val="24"/>
          <w:szCs w:val="24"/>
          <w:rtl w:val="0"/>
        </w:rPr>
        <w:t xml:space="preserve">] following, any material change to the Deliverables (including all changes under the Variation Procedure); and  </w:t>
      </w:r>
    </w:p>
    <w:p w:rsidR="00000000" w:rsidDel="00000000" w:rsidP="00000000" w:rsidRDefault="00000000" w:rsidRPr="00000000" w14:paraId="0000004A">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jointly review and verify the Exit Plan if required by the Buyer and promptly correct any identified failures.</w:t>
      </w:r>
    </w:p>
    <w:p w:rsidR="00000000" w:rsidDel="00000000" w:rsidP="00000000" w:rsidRDefault="00000000" w:rsidRPr="00000000" w14:paraId="0000004B">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Only if (by notification to the Supplier in writing) the Buyer agrees with a draft Exit Plan provided by the Supplier under Paragraph 4.2 or 4.4 (as the context requires), shall that draft become the Exit Plan for this Contract.  </w:t>
      </w:r>
    </w:p>
    <w:p w:rsidR="00000000" w:rsidDel="00000000" w:rsidP="00000000" w:rsidRDefault="00000000" w:rsidRPr="00000000" w14:paraId="0000004C">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version of an Exit Plan agreed between the parties shall not be superseded by any draft submitted by the Supplier.</w:t>
      </w:r>
    </w:p>
    <w:p w:rsidR="00000000" w:rsidDel="00000000" w:rsidP="00000000" w:rsidRDefault="00000000" w:rsidRPr="00000000" w14:paraId="0000004D">
      <w:pPr>
        <w:keepNext w:val="1"/>
        <w:numPr>
          <w:ilvl w:val="0"/>
          <w:numId w:val="1"/>
        </w:numPr>
        <w:pBdr>
          <w:top w:space="0" w:sz="0" w:val="nil"/>
          <w:left w:space="0" w:sz="0" w:val="nil"/>
          <w:bottom w:space="0" w:sz="0" w:val="nil"/>
          <w:right w:space="0" w:sz="0" w:val="nil"/>
          <w:between w:space="0" w:sz="0" w:val="nil"/>
        </w:pBdr>
        <w:tabs>
          <w:tab w:val="left" w:pos="0"/>
        </w:tabs>
        <w:spacing w:after="240" w:before="240" w:line="240" w:lineRule="auto"/>
        <w:ind w:left="644"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Termination Assistance </w:t>
      </w:r>
    </w:p>
    <w:p w:rsidR="00000000" w:rsidDel="00000000" w:rsidP="00000000" w:rsidRDefault="00000000" w:rsidRPr="00000000" w14:paraId="0000004E">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lnxbz9" w:id="14"/>
      <w:bookmarkEnd w:id="14"/>
      <w:r w:rsidDel="00000000" w:rsidR="00000000" w:rsidRPr="00000000">
        <w:rPr>
          <w:rFonts w:ascii="Arial" w:cs="Arial" w:eastAsia="Arial" w:hAnsi="Arial"/>
          <w:color w:val="000000"/>
          <w:sz w:val="24"/>
          <w:szCs w:val="24"/>
          <w:rtl w:val="0"/>
        </w:rPr>
        <w:t xml:space="preserve">The Buyer shall be entitled to require the provision of Termination Assistance at any time during the Contract Period by giving written notice to the Supplier (a </w:t>
      </w:r>
      <w:r w:rsidDel="00000000" w:rsidR="00000000" w:rsidRPr="00000000">
        <w:rPr>
          <w:rFonts w:ascii="Arial" w:cs="Arial" w:eastAsia="Arial" w:hAnsi="Arial"/>
          <w:b w:val="1"/>
          <w:color w:val="000000"/>
          <w:sz w:val="24"/>
          <w:szCs w:val="24"/>
          <w:rtl w:val="0"/>
        </w:rPr>
        <w:t xml:space="preserve">"Termination Assistance Notice"</w:t>
      </w:r>
      <w:r w:rsidDel="00000000" w:rsidR="00000000" w:rsidRPr="00000000">
        <w:rPr>
          <w:rFonts w:ascii="Arial" w:cs="Arial" w:eastAsia="Arial" w:hAnsi="Arial"/>
          <w:color w:val="000000"/>
          <w:sz w:val="24"/>
          <w:szCs w:val="24"/>
          <w:rtl w:val="0"/>
        </w:rPr>
        <w:t xml:space="preserve">) at least four (4) Months prior to the Expiry Date or as soon as reasonably practicable (but in any event, not later than one (1) Month) following the service by either Party of a Termination Notice. The Termination Assistance Notice shall specify:</w:t>
      </w:r>
    </w:p>
    <w:p w:rsidR="00000000" w:rsidDel="00000000" w:rsidP="00000000" w:rsidRDefault="00000000" w:rsidRPr="00000000" w14:paraId="0000004F">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nature of the Termination Assistance required; and</w:t>
      </w:r>
    </w:p>
    <w:p w:rsidR="00000000" w:rsidDel="00000000" w:rsidP="00000000" w:rsidRDefault="00000000" w:rsidRPr="00000000" w14:paraId="00000050">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start date and initial period during which it is anticipated that Termination Assistance will be required, which shall continue no longer than twelve (12) Months after the End Date.</w:t>
      </w:r>
    </w:p>
    <w:p w:rsidR="00000000" w:rsidDel="00000000" w:rsidP="00000000" w:rsidRDefault="00000000" w:rsidRPr="00000000" w14:paraId="00000051">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35nkun2" w:id="15"/>
      <w:bookmarkEnd w:id="15"/>
      <w:r w:rsidDel="00000000" w:rsidR="00000000" w:rsidRPr="00000000">
        <w:rPr>
          <w:rFonts w:ascii="Arial" w:cs="Arial" w:eastAsia="Arial" w:hAnsi="Arial"/>
          <w:color w:val="000000"/>
          <w:sz w:val="24"/>
          <w:szCs w:val="24"/>
          <w:rtl w:val="0"/>
        </w:rPr>
        <w:t xml:space="preserve">The Buyer shall have an option to extend the Termination Assistance Period beyond the initial period specified in the Termination Assistance Notice in one or more extensions, in each case provided that:</w:t>
      </w:r>
    </w:p>
    <w:p w:rsidR="00000000" w:rsidDel="00000000" w:rsidP="00000000" w:rsidRDefault="00000000" w:rsidRPr="00000000" w14:paraId="00000052">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 such extension shall extend the Termination Assistance Period beyond the date twelve (12) Months after the End Date; and </w:t>
      </w:r>
    </w:p>
    <w:p w:rsidR="00000000" w:rsidDel="00000000" w:rsidP="00000000" w:rsidRDefault="00000000" w:rsidRPr="00000000" w14:paraId="00000053">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notify the Supplier of any such extension no later than twenty (20) Working Days prior to the date on which the Termination Assistance Period is otherwise due to expire. </w:t>
      </w:r>
    </w:p>
    <w:p w:rsidR="00000000" w:rsidDel="00000000" w:rsidP="00000000" w:rsidRDefault="00000000" w:rsidRPr="00000000" w14:paraId="00000054">
      <w:pPr>
        <w:numPr>
          <w:ilvl w:val="1"/>
          <w:numId w:val="1"/>
        </w:numPr>
        <w:pBdr>
          <w:top w:space="0" w:sz="0" w:val="nil"/>
          <w:left w:space="0" w:sz="0" w:val="nil"/>
          <w:bottom w:space="0" w:sz="0" w:val="nil"/>
          <w:right w:space="0" w:sz="0" w:val="nil"/>
          <w:between w:space="0" w:sz="0" w:val="nil"/>
        </w:pBdr>
        <w:spacing w:after="120" w:before="120" w:line="240" w:lineRule="auto"/>
        <w:ind w:left="928"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have the right to terminate its requirement for Termination Assistance by serving not less than (20) Working Days' written notice upon the Supplier.</w:t>
      </w:r>
    </w:p>
    <w:p w:rsidR="00000000" w:rsidDel="00000000" w:rsidP="00000000" w:rsidRDefault="00000000" w:rsidRPr="00000000" w14:paraId="00000055">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event that Termination Assistance is required by the Buyer but at the relevant time the parties are still agreeing an update to the Exit Plan pursuant to Paragraph 4, the Supplier will provide the Termination Assistance in good faith and in accordance with the principles in this Schedule and the last Buyer approved version of the Exit Plan (insofar as it still applies).</w:t>
      </w:r>
    </w:p>
    <w:p w:rsidR="00000000" w:rsidDel="00000000" w:rsidP="00000000" w:rsidRDefault="00000000" w:rsidRPr="00000000" w14:paraId="00000056">
      <w:pPr>
        <w:keepNext w:val="1"/>
        <w:keepLines w:val="1"/>
        <w:numPr>
          <w:ilvl w:val="0"/>
          <w:numId w:val="1"/>
        </w:numPr>
        <w:pBdr>
          <w:top w:space="0" w:sz="0" w:val="nil"/>
          <w:left w:space="0" w:sz="0" w:val="nil"/>
          <w:bottom w:space="0" w:sz="0" w:val="nil"/>
          <w:right w:space="0" w:sz="0" w:val="nil"/>
          <w:between w:space="0" w:sz="0" w:val="nil"/>
        </w:pBdr>
        <w:tabs>
          <w:tab w:val="left" w:pos="0"/>
        </w:tabs>
        <w:spacing w:after="240" w:before="240" w:line="240" w:lineRule="auto"/>
        <w:ind w:left="644" w:hanging="36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Termination Assistance Period </w:t>
      </w:r>
      <w:r w:rsidDel="00000000" w:rsidR="00000000" w:rsidRPr="00000000">
        <w:rPr>
          <w:rtl w:val="0"/>
        </w:rPr>
      </w:r>
    </w:p>
    <w:p w:rsidR="00000000" w:rsidDel="00000000" w:rsidP="00000000" w:rsidRDefault="00000000" w:rsidRPr="00000000" w14:paraId="00000057">
      <w:pPr>
        <w:keepNext w:val="1"/>
        <w:keepLines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1ksv4uv" w:id="16"/>
      <w:bookmarkEnd w:id="16"/>
      <w:r w:rsidDel="00000000" w:rsidR="00000000" w:rsidRPr="00000000">
        <w:rPr>
          <w:rFonts w:ascii="Arial" w:cs="Arial" w:eastAsia="Arial" w:hAnsi="Arial"/>
          <w:color w:val="000000"/>
          <w:sz w:val="24"/>
          <w:szCs w:val="24"/>
          <w:rtl w:val="0"/>
        </w:rPr>
        <w:t xml:space="preserve">Throughout the Termination Assistance Period the Supplier shall:</w:t>
      </w:r>
    </w:p>
    <w:p w:rsidR="00000000" w:rsidDel="00000000" w:rsidP="00000000" w:rsidRDefault="00000000" w:rsidRPr="00000000" w14:paraId="00000058">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continue to provide the Deliverables (as applicable) and otherwise perform its obligations under this Contract and, if required by the Buyer, provide the Termination Assistance;</w:t>
      </w:r>
    </w:p>
    <w:p w:rsidR="00000000" w:rsidDel="00000000" w:rsidP="00000000" w:rsidRDefault="00000000" w:rsidRPr="00000000" w14:paraId="00000059">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bookmarkStart w:colFirst="0" w:colLast="0" w:name="_heading=h.44sinio" w:id="17"/>
      <w:bookmarkEnd w:id="17"/>
      <w:r w:rsidDel="00000000" w:rsidR="00000000" w:rsidRPr="00000000">
        <w:rPr>
          <w:rFonts w:ascii="Arial" w:cs="Arial" w:eastAsia="Arial" w:hAnsi="Arial"/>
          <w:color w:val="000000"/>
          <w:sz w:val="24"/>
          <w:szCs w:val="24"/>
          <w:rtl w:val="0"/>
        </w:rPr>
        <w:t xml:space="preserve">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p>
    <w:p w:rsidR="00000000" w:rsidDel="00000000" w:rsidP="00000000" w:rsidRDefault="00000000" w:rsidRPr="00000000" w14:paraId="0000005A">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bookmarkStart w:colFirst="0" w:colLast="0" w:name="_heading=h.2jxsxqh" w:id="18"/>
      <w:bookmarkEnd w:id="18"/>
      <w:r w:rsidDel="00000000" w:rsidR="00000000" w:rsidRPr="00000000">
        <w:rPr>
          <w:rFonts w:ascii="Arial" w:cs="Arial" w:eastAsia="Arial" w:hAnsi="Arial"/>
          <w:color w:val="000000"/>
          <w:sz w:val="24"/>
          <w:szCs w:val="24"/>
          <w:rtl w:val="0"/>
        </w:rPr>
        <w:t xml:space="preserve">use all reasonable endeavours to reallocate resources to provide such assistance without additional costs to the Buyer;</w:t>
      </w:r>
    </w:p>
    <w:p w:rsidR="00000000" w:rsidDel="00000000" w:rsidP="00000000" w:rsidRDefault="00000000" w:rsidRPr="00000000" w14:paraId="0000005B">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bookmarkStart w:colFirst="0" w:colLast="0" w:name="_heading=h.z337ya" w:id="19"/>
      <w:bookmarkEnd w:id="19"/>
      <w:r w:rsidDel="00000000" w:rsidR="00000000" w:rsidRPr="00000000">
        <w:rPr>
          <w:rFonts w:ascii="Arial" w:cs="Arial" w:eastAsia="Arial" w:hAnsi="Arial"/>
          <w:color w:val="000000"/>
          <w:sz w:val="24"/>
          <w:szCs w:val="24"/>
          <w:rtl w:val="0"/>
        </w:rPr>
        <w:t xml:space="preserve">subject to Paragraph 6.3, provide the Deliverables and the Termination Assistance at no detriment to the Performance Indicators (PI’s) or Service Levels, the provision of the Management Information or any other reports nor to any other of the Supplier's obligations under this Contract; </w:t>
      </w:r>
    </w:p>
    <w:p w:rsidR="00000000" w:rsidDel="00000000" w:rsidP="00000000" w:rsidRDefault="00000000" w:rsidRPr="00000000" w14:paraId="0000005C">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bookmarkStart w:colFirst="0" w:colLast="0" w:name="_heading=h.3j2qqm3" w:id="20"/>
      <w:bookmarkEnd w:id="20"/>
      <w:r w:rsidDel="00000000" w:rsidR="00000000" w:rsidRPr="00000000">
        <w:rPr>
          <w:rFonts w:ascii="Arial" w:cs="Arial" w:eastAsia="Arial" w:hAnsi="Arial"/>
          <w:color w:val="000000"/>
          <w:sz w:val="24"/>
          <w:szCs w:val="24"/>
          <w:rtl w:val="0"/>
        </w:rPr>
        <w:t xml:space="preserve">at the Buyer's request and on reasonable notice, deliver up-to-date Registers to the Buyer;</w:t>
      </w:r>
    </w:p>
    <w:p w:rsidR="00000000" w:rsidDel="00000000" w:rsidP="00000000" w:rsidRDefault="00000000" w:rsidRPr="00000000" w14:paraId="0000005D">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seek the Buyer's prior written consent to access any Buyer Premises from which the de-installation or removal of Supplier Assets is required.</w:t>
      </w:r>
    </w:p>
    <w:p w:rsidR="00000000" w:rsidDel="00000000" w:rsidP="00000000" w:rsidRDefault="00000000" w:rsidRPr="00000000" w14:paraId="0000005E">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it is not possible for the Supplier to reallocate resources to provide such assistance as is referred to in Paragraph 6.1.2 without additional costs to the Buyer, any additional costs incurred by the Supplier in providing such reasonable assistance shall be subject to the Variation Procedure.</w:t>
      </w:r>
    </w:p>
    <w:p w:rsidR="00000000" w:rsidDel="00000000" w:rsidP="00000000" w:rsidRDefault="00000000" w:rsidRPr="00000000" w14:paraId="0000005F">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1y810tw" w:id="21"/>
      <w:bookmarkEnd w:id="21"/>
      <w:r w:rsidDel="00000000" w:rsidR="00000000" w:rsidRPr="00000000">
        <w:rPr>
          <w:rFonts w:ascii="Arial" w:cs="Arial" w:eastAsia="Arial" w:hAnsi="Arial"/>
          <w:color w:val="000000"/>
          <w:sz w:val="24"/>
          <w:szCs w:val="24"/>
          <w:rtl w:val="0"/>
        </w:rPr>
        <w:t xml:space="preserve">If the Supplier demonstrates to the Buyer's reasonable satisfaction that the provision of the Termination Assistance will have a material, unavoidable adverse effect on the Supplier's ability to meet one or more particular Service Levels, the Parties shall vary the relevant Service Levels and/or the applicable Service Credits accordingly.</w:t>
      </w:r>
    </w:p>
    <w:p w:rsidR="00000000" w:rsidDel="00000000" w:rsidP="00000000" w:rsidRDefault="00000000" w:rsidRPr="00000000" w14:paraId="00000060">
      <w:pPr>
        <w:keepNext w:val="1"/>
        <w:numPr>
          <w:ilvl w:val="0"/>
          <w:numId w:val="1"/>
        </w:numPr>
        <w:pBdr>
          <w:top w:space="0" w:sz="0" w:val="nil"/>
          <w:left w:space="0" w:sz="0" w:val="nil"/>
          <w:bottom w:space="0" w:sz="0" w:val="nil"/>
          <w:right w:space="0" w:sz="0" w:val="nil"/>
          <w:between w:space="0" w:sz="0" w:val="nil"/>
        </w:pBdr>
        <w:tabs>
          <w:tab w:val="left" w:pos="0"/>
        </w:tabs>
        <w:spacing w:after="240" w:before="240" w:line="240" w:lineRule="auto"/>
        <w:ind w:left="644" w:hanging="36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Obligations when the contract is terminated  </w:t>
      </w:r>
      <w:r w:rsidDel="00000000" w:rsidR="00000000" w:rsidRPr="00000000">
        <w:rPr>
          <w:rtl w:val="0"/>
        </w:rPr>
      </w:r>
    </w:p>
    <w:p w:rsidR="00000000" w:rsidDel="00000000" w:rsidP="00000000" w:rsidRDefault="00000000" w:rsidRPr="00000000" w14:paraId="00000061">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4i7ojhp" w:id="22"/>
      <w:bookmarkEnd w:id="22"/>
      <w:r w:rsidDel="00000000" w:rsidR="00000000" w:rsidRPr="00000000">
        <w:rPr>
          <w:rFonts w:ascii="Arial" w:cs="Arial" w:eastAsia="Arial" w:hAnsi="Arial"/>
          <w:color w:val="000000"/>
          <w:sz w:val="24"/>
          <w:szCs w:val="24"/>
          <w:rtl w:val="0"/>
        </w:rPr>
        <w:t xml:space="preserve">The Supplier shall comply with all of its obligations contained in the Exit Plan.</w:t>
      </w:r>
    </w:p>
    <w:p w:rsidR="00000000" w:rsidDel="00000000" w:rsidP="00000000" w:rsidRDefault="00000000" w:rsidRPr="00000000" w14:paraId="00000062">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2xcytpi" w:id="23"/>
      <w:bookmarkEnd w:id="23"/>
      <w:r w:rsidDel="00000000" w:rsidR="00000000" w:rsidRPr="00000000">
        <w:rPr>
          <w:rFonts w:ascii="Arial" w:cs="Arial" w:eastAsia="Arial" w:hAnsi="Arial"/>
          <w:color w:val="000000"/>
          <w:sz w:val="24"/>
          <w:szCs w:val="24"/>
          <w:rtl w:val="0"/>
        </w:rPr>
        <w:t xml:space="preserve">Upon termination or expiry or at the end of the Termination Assistance Period (or earlier if this does not adversely affect the Supplier's performance of the Deliverables and the Termination Assistance), the Supplier shall:</w:t>
      </w:r>
    </w:p>
    <w:p w:rsidR="00000000" w:rsidDel="00000000" w:rsidP="00000000" w:rsidRDefault="00000000" w:rsidRPr="00000000" w14:paraId="00000063">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vacate any Buyer Premises;</w:t>
      </w:r>
    </w:p>
    <w:p w:rsidR="00000000" w:rsidDel="00000000" w:rsidP="00000000" w:rsidRDefault="00000000" w:rsidRPr="00000000" w14:paraId="00000064">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p>
    <w:p w:rsidR="00000000" w:rsidDel="00000000" w:rsidP="00000000" w:rsidRDefault="00000000" w:rsidRPr="00000000" w14:paraId="00000065">
      <w:pPr>
        <w:keepNext w:val="1"/>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bookmarkStart w:colFirst="0" w:colLast="0" w:name="_heading=h.1ci93xb" w:id="24"/>
      <w:bookmarkEnd w:id="24"/>
      <w:r w:rsidDel="00000000" w:rsidR="00000000" w:rsidRPr="00000000">
        <w:rPr>
          <w:rFonts w:ascii="Arial" w:cs="Arial" w:eastAsia="Arial" w:hAnsi="Arial"/>
          <w:color w:val="000000"/>
          <w:sz w:val="24"/>
          <w:szCs w:val="24"/>
          <w:rtl w:val="0"/>
        </w:rPr>
        <w:t xml:space="preserve">provide access during normal working hours to the Buyer and/or the Replacement Supplier for up to twelve (12) Months after expiry or termination to:</w:t>
      </w:r>
    </w:p>
    <w:p w:rsidR="00000000" w:rsidDel="00000000" w:rsidP="00000000" w:rsidRDefault="00000000" w:rsidRPr="00000000" w14:paraId="00000066">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327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information relating to the Deliverables as remains in the possession or control of the Supplier; and</w:t>
      </w:r>
    </w:p>
    <w:p w:rsidR="00000000" w:rsidDel="00000000" w:rsidP="00000000" w:rsidRDefault="00000000" w:rsidRPr="00000000" w14:paraId="00000067">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3272" w:hanging="720"/>
        <w:rPr>
          <w:rFonts w:ascii="Arial" w:cs="Arial" w:eastAsia="Arial" w:hAnsi="Arial"/>
          <w:color w:val="000000"/>
          <w:sz w:val="24"/>
          <w:szCs w:val="24"/>
        </w:rPr>
      </w:pPr>
      <w:bookmarkStart w:colFirst="0" w:colLast="0" w:name="_heading=h.3whwml4" w:id="25"/>
      <w:bookmarkEnd w:id="25"/>
      <w:r w:rsidDel="00000000" w:rsidR="00000000" w:rsidRPr="00000000">
        <w:rPr>
          <w:rFonts w:ascii="Arial" w:cs="Arial" w:eastAsia="Arial" w:hAnsi="Arial"/>
          <w:color w:val="000000"/>
          <w:sz w:val="24"/>
          <w:szCs w:val="24"/>
          <w:rtl w:val="0"/>
        </w:rPr>
        <w:t xml:space="preserve">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p>
    <w:p w:rsidR="00000000" w:rsidDel="00000000" w:rsidP="00000000" w:rsidRDefault="00000000" w:rsidRPr="00000000" w14:paraId="00000068">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2bn6wsx" w:id="26"/>
      <w:bookmarkEnd w:id="26"/>
      <w:r w:rsidDel="00000000" w:rsidR="00000000" w:rsidRPr="00000000">
        <w:rPr>
          <w:rFonts w:ascii="Arial" w:cs="Arial" w:eastAsia="Arial" w:hAnsi="Arial"/>
          <w:color w:val="000000"/>
          <w:sz w:val="24"/>
          <w:szCs w:val="24"/>
          <w:rtl w:val="0"/>
        </w:rPr>
        <w:t xml:space="preserve">Except where this Contract provides otherwise, all licences, leases and authorisations granted by the Buyer to the Supplier in relation to the Deliverables shall be terminated with effect from the end of the Termination Assistance Period.</w:t>
      </w:r>
    </w:p>
    <w:p w:rsidR="00000000" w:rsidDel="00000000" w:rsidP="00000000" w:rsidRDefault="00000000" w:rsidRPr="00000000" w14:paraId="00000069">
      <w:pPr>
        <w:keepNext w:val="1"/>
        <w:numPr>
          <w:ilvl w:val="0"/>
          <w:numId w:val="1"/>
        </w:numPr>
        <w:pBdr>
          <w:top w:space="0" w:sz="0" w:val="nil"/>
          <w:left w:space="0" w:sz="0" w:val="nil"/>
          <w:bottom w:space="0" w:sz="0" w:val="nil"/>
          <w:right w:space="0" w:sz="0" w:val="nil"/>
          <w:between w:space="0" w:sz="0" w:val="nil"/>
        </w:pBdr>
        <w:tabs>
          <w:tab w:val="left" w:pos="0"/>
        </w:tabs>
        <w:spacing w:after="240" w:before="240" w:line="240" w:lineRule="auto"/>
        <w:ind w:left="644"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Assets, Sub-contracts and Software</w:t>
      </w:r>
    </w:p>
    <w:p w:rsidR="00000000" w:rsidDel="00000000" w:rsidP="00000000" w:rsidRDefault="00000000" w:rsidRPr="00000000" w14:paraId="0000006A">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qsh70q" w:id="27"/>
      <w:bookmarkEnd w:id="27"/>
      <w:r w:rsidDel="00000000" w:rsidR="00000000" w:rsidRPr="00000000">
        <w:rPr>
          <w:rFonts w:ascii="Arial" w:cs="Arial" w:eastAsia="Arial" w:hAnsi="Arial"/>
          <w:color w:val="000000"/>
          <w:sz w:val="24"/>
          <w:szCs w:val="24"/>
          <w:rtl w:val="0"/>
        </w:rPr>
        <w:t xml:space="preserve">Following notice of termination of this Contract and during the Termination Assistance Period, the Supplier shall not, without the Buyer's prior written consent:</w:t>
      </w:r>
    </w:p>
    <w:p w:rsidR="00000000" w:rsidDel="00000000" w:rsidP="00000000" w:rsidRDefault="00000000" w:rsidRPr="00000000" w14:paraId="0000006B">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terminate, enter into or vary any Sub-contract or licence for any software in connection with the Deliverables; or</w:t>
      </w:r>
    </w:p>
    <w:p w:rsidR="00000000" w:rsidDel="00000000" w:rsidP="00000000" w:rsidRDefault="00000000" w:rsidRPr="00000000" w14:paraId="0000006C">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normal maintenance requirements) make material modifications to, or dispose of, any existing Supplier Assets or acquire any new Supplier Assets.</w:t>
      </w:r>
    </w:p>
    <w:p w:rsidR="00000000" w:rsidDel="00000000" w:rsidP="00000000" w:rsidRDefault="00000000" w:rsidRPr="00000000" w14:paraId="0000006D">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3as4poj" w:id="28"/>
      <w:bookmarkEnd w:id="28"/>
      <w:r w:rsidDel="00000000" w:rsidR="00000000" w:rsidRPr="00000000">
        <w:rPr>
          <w:rFonts w:ascii="Arial" w:cs="Arial" w:eastAsia="Arial" w:hAnsi="Arial"/>
          <w:color w:val="000000"/>
          <w:sz w:val="24"/>
          <w:szCs w:val="24"/>
          <w:rtl w:val="0"/>
        </w:rPr>
        <w:t xml:space="preserve">Within twenty (20) Working Days of receipt of the up-to-date Registers provided by the Supplier, the Buyer shall notify the Supplier setting out:</w:t>
      </w:r>
    </w:p>
    <w:p w:rsidR="00000000" w:rsidDel="00000000" w:rsidP="00000000" w:rsidRDefault="00000000" w:rsidRPr="00000000" w14:paraId="0000006E">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bookmarkStart w:colFirst="0" w:colLast="0" w:name="_heading=h.1pxezwc" w:id="29"/>
      <w:bookmarkEnd w:id="29"/>
      <w:r w:rsidDel="00000000" w:rsidR="00000000" w:rsidRPr="00000000">
        <w:rPr>
          <w:rFonts w:ascii="Arial" w:cs="Arial" w:eastAsia="Arial" w:hAnsi="Arial"/>
          <w:color w:val="000000"/>
          <w:sz w:val="24"/>
          <w:szCs w:val="24"/>
          <w:rtl w:val="0"/>
        </w:rPr>
        <w:t xml:space="preserve">which, if any, of the Transferable Assets the Buyer requires to be transferred to the Buyer and/or the Replacement Supplier ("</w:t>
      </w:r>
      <w:r w:rsidDel="00000000" w:rsidR="00000000" w:rsidRPr="00000000">
        <w:rPr>
          <w:rFonts w:ascii="Arial" w:cs="Arial" w:eastAsia="Arial" w:hAnsi="Arial"/>
          <w:b w:val="1"/>
          <w:color w:val="000000"/>
          <w:sz w:val="24"/>
          <w:szCs w:val="24"/>
          <w:rtl w:val="0"/>
        </w:rPr>
        <w:t xml:space="preserve">Transferring Assets</w:t>
      </w:r>
      <w:r w:rsidDel="00000000" w:rsidR="00000000" w:rsidRPr="00000000">
        <w:rPr>
          <w:rFonts w:ascii="Arial" w:cs="Arial" w:eastAsia="Arial" w:hAnsi="Arial"/>
          <w:color w:val="000000"/>
          <w:sz w:val="24"/>
          <w:szCs w:val="24"/>
          <w:rtl w:val="0"/>
        </w:rPr>
        <w:t xml:space="preserve">"); </w:t>
      </w:r>
    </w:p>
    <w:bookmarkStart w:colFirst="0" w:colLast="0" w:name="bookmark=id.49x2ik5" w:id="30"/>
    <w:bookmarkEnd w:id="30"/>
    <w:p w:rsidR="00000000" w:rsidDel="00000000" w:rsidP="00000000" w:rsidRDefault="00000000" w:rsidRPr="00000000" w14:paraId="0000006F">
      <w:pPr>
        <w:keepNext w:val="1"/>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bookmarkStart w:colFirst="0" w:colLast="0" w:name="_heading=h.2p2csry" w:id="31"/>
      <w:bookmarkEnd w:id="31"/>
      <w:r w:rsidDel="00000000" w:rsidR="00000000" w:rsidRPr="00000000">
        <w:rPr>
          <w:rFonts w:ascii="Arial" w:cs="Arial" w:eastAsia="Arial" w:hAnsi="Arial"/>
          <w:color w:val="000000"/>
          <w:sz w:val="24"/>
          <w:szCs w:val="24"/>
          <w:rtl w:val="0"/>
        </w:rPr>
        <w:t xml:space="preserve">which, if any, of:</w:t>
      </w:r>
    </w:p>
    <w:p w:rsidR="00000000" w:rsidDel="00000000" w:rsidP="00000000" w:rsidRDefault="00000000" w:rsidRPr="00000000" w14:paraId="00000070">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327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Exclusive Assets that are not Transferable Assets; and </w:t>
      </w:r>
    </w:p>
    <w:p w:rsidR="00000000" w:rsidDel="00000000" w:rsidP="00000000" w:rsidRDefault="00000000" w:rsidRPr="00000000" w14:paraId="00000071">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327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Non-Exclusive Assets,</w:t>
      </w:r>
    </w:p>
    <w:p w:rsidR="00000000" w:rsidDel="00000000" w:rsidP="00000000" w:rsidRDefault="00000000" w:rsidRPr="00000000" w14:paraId="00000072">
      <w:pPr>
        <w:pBdr>
          <w:top w:space="0" w:sz="0" w:val="nil"/>
          <w:left w:space="0" w:sz="0" w:val="nil"/>
          <w:bottom w:space="0" w:sz="0" w:val="nil"/>
          <w:right w:space="0" w:sz="0" w:val="nil"/>
          <w:between w:space="0" w:sz="0" w:val="nil"/>
        </w:pBdr>
        <w:tabs>
          <w:tab w:val="left" w:pos="2127"/>
        </w:tabs>
        <w:spacing w:after="120" w:before="120" w:line="240" w:lineRule="auto"/>
        <w:ind w:left="165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and/or the Replacement Supplier requires the continued use of; and</w:t>
      </w:r>
    </w:p>
    <w:p w:rsidR="00000000" w:rsidDel="00000000" w:rsidP="00000000" w:rsidRDefault="00000000" w:rsidRPr="00000000" w14:paraId="00000073">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bookmarkStart w:colFirst="0" w:colLast="0" w:name="_heading=h.147n2zr" w:id="32"/>
      <w:bookmarkEnd w:id="32"/>
      <w:r w:rsidDel="00000000" w:rsidR="00000000" w:rsidRPr="00000000">
        <w:rPr>
          <w:rFonts w:ascii="Arial" w:cs="Arial" w:eastAsia="Arial" w:hAnsi="Arial"/>
          <w:color w:val="000000"/>
          <w:sz w:val="24"/>
          <w:szCs w:val="24"/>
          <w:rtl w:val="0"/>
        </w:rPr>
        <w:t xml:space="preserve">which, if any, of Transferable Contracts the Buyer requires to be assigned or novated to the Buyer and/or the Replacement Supplier (the </w:t>
      </w:r>
      <w:r w:rsidDel="00000000" w:rsidR="00000000" w:rsidRPr="00000000">
        <w:rPr>
          <w:rFonts w:ascii="Arial" w:cs="Arial" w:eastAsia="Arial" w:hAnsi="Arial"/>
          <w:b w:val="1"/>
          <w:color w:val="000000"/>
          <w:sz w:val="24"/>
          <w:szCs w:val="24"/>
          <w:rtl w:val="0"/>
        </w:rPr>
        <w:t xml:space="preserve">"Transferring Contracts"</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74">
      <w:pPr>
        <w:pBdr>
          <w:top w:space="0" w:sz="0" w:val="nil"/>
          <w:left w:space="0" w:sz="0" w:val="nil"/>
          <w:bottom w:space="0" w:sz="0" w:val="nil"/>
          <w:right w:space="0" w:sz="0" w:val="nil"/>
          <w:between w:space="0" w:sz="0" w:val="nil"/>
        </w:pBdr>
        <w:tabs>
          <w:tab w:val="left" w:pos="709"/>
          <w:tab w:val="left" w:pos="2127"/>
        </w:tabs>
        <w:spacing w:after="120" w:before="120" w:line="240" w:lineRule="auto"/>
        <w:ind w:left="936" w:hanging="34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rsidR="00000000" w:rsidDel="00000000" w:rsidP="00000000" w:rsidRDefault="00000000" w:rsidRPr="00000000" w14:paraId="00000075">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3o7alnk" w:id="33"/>
      <w:bookmarkEnd w:id="33"/>
      <w:r w:rsidDel="00000000" w:rsidR="00000000" w:rsidRPr="00000000">
        <w:rPr>
          <w:rFonts w:ascii="Arial" w:cs="Arial" w:eastAsia="Arial" w:hAnsi="Arial"/>
          <w:color w:val="000000"/>
          <w:sz w:val="24"/>
          <w:szCs w:val="24"/>
          <w:rtl w:val="0"/>
        </w:rPr>
        <w:t xml:space="preserve">With effect from the expiry of the Termination Assistance Period, the Supplier shall sell the Transferring Assets to the Buyer and/or the Replacement Supplier for their Net Book Value less any amount already paid for them through the Charges. </w:t>
      </w:r>
    </w:p>
    <w:p w:rsidR="00000000" w:rsidDel="00000000" w:rsidP="00000000" w:rsidRDefault="00000000" w:rsidRPr="00000000" w14:paraId="00000076">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Risk in the Transferring Assets shall pass to the Buyer or the Replacement Supplier (as appropriate) at the end of the Termination Assistance Period and title shall pass on payment for them.</w:t>
      </w:r>
    </w:p>
    <w:p w:rsidR="00000000" w:rsidDel="00000000" w:rsidP="00000000" w:rsidRDefault="00000000" w:rsidRPr="00000000" w14:paraId="00000077">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23ckvvd" w:id="34"/>
      <w:bookmarkEnd w:id="34"/>
      <w:r w:rsidDel="00000000" w:rsidR="00000000" w:rsidRPr="00000000">
        <w:rPr>
          <w:rFonts w:ascii="Arial" w:cs="Arial" w:eastAsia="Arial" w:hAnsi="Arial"/>
          <w:color w:val="000000"/>
          <w:sz w:val="24"/>
          <w:szCs w:val="24"/>
          <w:rtl w:val="0"/>
        </w:rPr>
        <w:t xml:space="preserve">Where the Buyer and/or the Replacement Supplier requires continued use of any Exclusive Assets that are not Transferable Assets or any Non-Exclusive Assets, the Supplier shall as soon as reasonably practicable:</w:t>
      </w:r>
    </w:p>
    <w:p w:rsidR="00000000" w:rsidDel="00000000" w:rsidP="00000000" w:rsidRDefault="00000000" w:rsidRPr="00000000" w14:paraId="00000078">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procure a non-exclusive, perpetual, royalty-free licence for the Buyer and/or the Replacement Supplier to use such assets (with a right of sub-licence or assignment on the same terms); or failing which</w:t>
      </w:r>
    </w:p>
    <w:p w:rsidR="00000000" w:rsidDel="00000000" w:rsidP="00000000" w:rsidRDefault="00000000" w:rsidRPr="00000000" w14:paraId="00000079">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procure a suitable alternative to such assets, the Buyer or the Replacement Supplier to bear the reasonable proven costs of procuring the same.</w:t>
      </w:r>
    </w:p>
    <w:p w:rsidR="00000000" w:rsidDel="00000000" w:rsidP="00000000" w:rsidRDefault="00000000" w:rsidRPr="00000000" w14:paraId="0000007A">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ihv636" w:id="35"/>
      <w:bookmarkEnd w:id="35"/>
      <w:r w:rsidDel="00000000" w:rsidR="00000000" w:rsidRPr="00000000">
        <w:rPr>
          <w:rFonts w:ascii="Arial" w:cs="Arial" w:eastAsia="Arial" w:hAnsi="Arial"/>
          <w:color w:val="000000"/>
          <w:sz w:val="24"/>
          <w:szCs w:val="24"/>
          <w:rtl w:val="0"/>
        </w:rPr>
        <w:t xml:space="preserve">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p>
    <w:p w:rsidR="00000000" w:rsidDel="00000000" w:rsidP="00000000" w:rsidRDefault="00000000" w:rsidRPr="00000000" w14:paraId="0000007B">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32hioqz" w:id="36"/>
      <w:bookmarkEnd w:id="36"/>
      <w:r w:rsidDel="00000000" w:rsidR="00000000" w:rsidRPr="00000000">
        <w:rPr>
          <w:rFonts w:ascii="Arial" w:cs="Arial" w:eastAsia="Arial" w:hAnsi="Arial"/>
          <w:color w:val="000000"/>
          <w:sz w:val="24"/>
          <w:szCs w:val="24"/>
          <w:rtl w:val="0"/>
        </w:rPr>
        <w:t xml:space="preserve">The Buyer shall:</w:t>
      </w:r>
    </w:p>
    <w:p w:rsidR="00000000" w:rsidDel="00000000" w:rsidP="00000000" w:rsidRDefault="00000000" w:rsidRPr="00000000" w14:paraId="0000007C">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accept assignments from the Supplier or join with the Supplier in procuring a novation of each Transferring Contract; and</w:t>
      </w:r>
    </w:p>
    <w:p w:rsidR="00000000" w:rsidDel="00000000" w:rsidP="00000000" w:rsidRDefault="00000000" w:rsidRPr="00000000" w14:paraId="0000007D">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p>
    <w:p w:rsidR="00000000" w:rsidDel="00000000" w:rsidP="00000000" w:rsidRDefault="00000000" w:rsidRPr="00000000" w14:paraId="0000007E">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hold any Transferring Contracts on trust for the Buyer until the transfer of the relevant Transferring Contract to the Buyer and/or the Replacement Supplier has taken place.</w:t>
      </w:r>
    </w:p>
    <w:p w:rsidR="00000000" w:rsidDel="00000000" w:rsidP="00000000" w:rsidRDefault="00000000" w:rsidRPr="00000000" w14:paraId="0000007F">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1hmsyys" w:id="37"/>
      <w:bookmarkEnd w:id="37"/>
      <w:r w:rsidDel="00000000" w:rsidR="00000000" w:rsidRPr="00000000">
        <w:rPr>
          <w:rFonts w:ascii="Arial" w:cs="Arial" w:eastAsia="Arial" w:hAnsi="Arial"/>
          <w:color w:val="000000"/>
          <w:sz w:val="24"/>
          <w:szCs w:val="24"/>
          <w:rtl w:val="0"/>
        </w:rPr>
        <w:t xml:space="preserve">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8.6 in relation to any matters arising prior to the date of assignment or novation of such Transferring Contract. Clause 19 (Other people's rights in this contract) shall not apply to this Paragraph 8.9 which is intended to be enforceable by Third Parties Beneficiaries by virtue of the CRTPA.</w:t>
      </w:r>
    </w:p>
    <w:p w:rsidR="00000000" w:rsidDel="00000000" w:rsidP="00000000" w:rsidRDefault="00000000" w:rsidRPr="00000000" w14:paraId="00000080">
      <w:pPr>
        <w:keepNext w:val="1"/>
        <w:numPr>
          <w:ilvl w:val="0"/>
          <w:numId w:val="1"/>
        </w:numPr>
        <w:pBdr>
          <w:top w:space="0" w:sz="0" w:val="nil"/>
          <w:left w:space="0" w:sz="0" w:val="nil"/>
          <w:bottom w:space="0" w:sz="0" w:val="nil"/>
          <w:right w:space="0" w:sz="0" w:val="nil"/>
          <w:between w:space="0" w:sz="0" w:val="nil"/>
        </w:pBdr>
        <w:tabs>
          <w:tab w:val="left" w:pos="0"/>
        </w:tabs>
        <w:spacing w:after="240" w:before="240" w:line="240" w:lineRule="auto"/>
        <w:ind w:left="644" w:hanging="360"/>
        <w:rPr>
          <w:rFonts w:ascii="Arial" w:cs="Arial" w:eastAsia="Arial" w:hAnsi="Arial"/>
          <w:b w:val="1"/>
          <w:smallCaps w:val="1"/>
          <w:color w:val="000000"/>
          <w:sz w:val="24"/>
          <w:szCs w:val="24"/>
        </w:rPr>
      </w:pPr>
      <w:bookmarkStart w:colFirst="0" w:colLast="0" w:name="_heading=h.41mghml" w:id="38"/>
      <w:bookmarkEnd w:id="38"/>
      <w:r w:rsidDel="00000000" w:rsidR="00000000" w:rsidRPr="00000000">
        <w:rPr>
          <w:rFonts w:ascii="Arial" w:cs="Arial" w:eastAsia="Arial" w:hAnsi="Arial"/>
          <w:b w:val="1"/>
          <w:smallCaps w:val="1"/>
          <w:color w:val="000000"/>
          <w:sz w:val="24"/>
          <w:szCs w:val="24"/>
          <w:rtl w:val="0"/>
        </w:rPr>
        <w:t xml:space="preserve">N</w:t>
      </w:r>
      <w:r w:rsidDel="00000000" w:rsidR="00000000" w:rsidRPr="00000000">
        <w:rPr>
          <w:rFonts w:ascii="Arial Bold" w:cs="Arial Bold" w:eastAsia="Arial Bold" w:hAnsi="Arial Bold"/>
          <w:b w:val="1"/>
          <w:color w:val="000000"/>
          <w:sz w:val="24"/>
          <w:szCs w:val="24"/>
          <w:rtl w:val="0"/>
        </w:rPr>
        <w:t xml:space="preserve">o charges</w:t>
      </w:r>
      <w:r w:rsidDel="00000000" w:rsidR="00000000" w:rsidRPr="00000000">
        <w:rPr>
          <w:rFonts w:ascii="Arial" w:cs="Arial" w:eastAsia="Arial" w:hAnsi="Arial"/>
          <w:b w:val="1"/>
          <w:smallCaps w:val="1"/>
          <w:color w:val="000000"/>
          <w:sz w:val="24"/>
          <w:szCs w:val="24"/>
          <w:rtl w:val="0"/>
        </w:rPr>
        <w:t xml:space="preserve"> </w:t>
      </w:r>
    </w:p>
    <w:p w:rsidR="00000000" w:rsidDel="00000000" w:rsidP="00000000" w:rsidRDefault="00000000" w:rsidRPr="00000000" w14:paraId="00000081">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Unless otherwise stated, the Buyer shall not be obliged to pay for costs incurred by the Supplier in relation to its compliance with this Schedule.</w:t>
      </w:r>
    </w:p>
    <w:p w:rsidR="00000000" w:rsidDel="00000000" w:rsidP="00000000" w:rsidRDefault="00000000" w:rsidRPr="00000000" w14:paraId="00000082">
      <w:pPr>
        <w:keepNext w:val="1"/>
        <w:numPr>
          <w:ilvl w:val="0"/>
          <w:numId w:val="1"/>
        </w:numPr>
        <w:pBdr>
          <w:top w:space="0" w:sz="0" w:val="nil"/>
          <w:left w:space="0" w:sz="0" w:val="nil"/>
          <w:bottom w:space="0" w:sz="0" w:val="nil"/>
          <w:right w:space="0" w:sz="0" w:val="nil"/>
          <w:between w:space="0" w:sz="0" w:val="nil"/>
        </w:pBdr>
        <w:tabs>
          <w:tab w:val="left" w:pos="0"/>
        </w:tabs>
        <w:spacing w:after="240" w:before="240" w:line="240" w:lineRule="auto"/>
        <w:ind w:left="644" w:hanging="360"/>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D</w:t>
      </w:r>
      <w:r w:rsidDel="00000000" w:rsidR="00000000" w:rsidRPr="00000000">
        <w:rPr>
          <w:rFonts w:ascii="Arial Bold" w:cs="Arial Bold" w:eastAsia="Arial Bold" w:hAnsi="Arial Bold"/>
          <w:b w:val="1"/>
          <w:color w:val="000000"/>
          <w:sz w:val="24"/>
          <w:szCs w:val="24"/>
          <w:rtl w:val="0"/>
        </w:rPr>
        <w:t xml:space="preserve">ividing the bills </w:t>
      </w:r>
      <w:r w:rsidDel="00000000" w:rsidR="00000000" w:rsidRPr="00000000">
        <w:rPr>
          <w:rtl w:val="0"/>
        </w:rPr>
      </w:r>
    </w:p>
    <w:p w:rsidR="00000000" w:rsidDel="00000000" w:rsidP="00000000" w:rsidRDefault="00000000" w:rsidRPr="00000000" w14:paraId="00000083">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2grqrue" w:id="39"/>
      <w:bookmarkEnd w:id="39"/>
      <w:r w:rsidDel="00000000" w:rsidR="00000000" w:rsidRPr="00000000">
        <w:rPr>
          <w:rFonts w:ascii="Arial" w:cs="Arial" w:eastAsia="Arial" w:hAnsi="Arial"/>
          <w:color w:val="000000"/>
          <w:sz w:val="24"/>
          <w:szCs w:val="24"/>
          <w:rtl w:val="0"/>
        </w:rPr>
        <w:t xml:space="preserve">All outgoings, expenses, rents, royalties and other periodical payments receivable in respect of the Transferring Assets and Transferring Contracts shall be apportioned between the Buyer and/or the Replacement and the Supplier as follows:</w:t>
      </w:r>
    </w:p>
    <w:p w:rsidR="00000000" w:rsidDel="00000000" w:rsidP="00000000" w:rsidRDefault="00000000" w:rsidRPr="00000000" w14:paraId="00000084">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amounts shall be annualised and divided by 365 to reach a daily rate;</w:t>
      </w:r>
    </w:p>
    <w:p w:rsidR="00000000" w:rsidDel="00000000" w:rsidP="00000000" w:rsidRDefault="00000000" w:rsidRPr="00000000" w14:paraId="00000085">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or Replacement Supplier (as applicable) shall be responsible for or entitled to (as the case may be) that part of the value of the invoice pro rata to the number of complete days following the transfer, multiplied by the daily rate; and</w:t>
      </w:r>
    </w:p>
    <w:p w:rsidR="00000000" w:rsidDel="00000000" w:rsidP="00000000" w:rsidRDefault="00000000" w:rsidRPr="00000000" w14:paraId="00000086">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be responsible for or entitled to (as the case may be) the rest of the invoice.</w:t>
      </w:r>
    </w:p>
    <w:p w:rsidR="00000000" w:rsidDel="00000000" w:rsidP="00000000" w:rsidRDefault="00000000" w:rsidRPr="00000000" w14:paraId="00000087">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8">
      <w:pPr>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89">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36"/>
          <w:szCs w:val="36"/>
          <w:u w:val="none"/>
          <w:shd w:fill="auto" w:val="clear"/>
          <w:vertAlign w:val="baseline"/>
          <w:rtl w:val="0"/>
        </w:rPr>
        <w:t xml:space="preserve">Part B: Short Form Exit Management Requirements - SaaS</w:t>
      </w:r>
      <w:r w:rsidDel="00000000" w:rsidR="00000000" w:rsidRPr="00000000">
        <w:rPr>
          <w:rtl w:val="0"/>
        </w:rPr>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w:t>
        <w:tab/>
        <w:t xml:space="preserve">Within 20 (twenty) working days of the Start Date the Supplier must provide the Buyer with an exit plan which ensures continuity of service and which the Supplier will follow.</w:t>
      </w:r>
      <w:r w:rsidDel="00000000" w:rsidR="00000000" w:rsidRPr="00000000">
        <w:rPr>
          <w:rtl w:val="0"/>
        </w:rPr>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w:t>
        <w:tab/>
        <w:t xml:space="preserve">The Supplier must ensure that the exit plan clearly sets out the Supplier’s methodology for achieving an orderly transition of the Services from the Supplier to the Buyer or its Replacement Supplier at the expiry or if the contract ends before the scheduled expiry.</w:t>
      </w:r>
      <w:r w:rsidDel="00000000" w:rsidR="00000000" w:rsidRPr="00000000">
        <w:rPr>
          <w:rtl w:val="0"/>
        </w:rPr>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w:t>
        <w:tab/>
        <w:t xml:space="preserve">The exit plan should set out full details of timescales, activities and roles and responsibilities of the Parties for:</w:t>
      </w: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tab/>
        <w:t xml:space="preserve">the transfer to the Buyer of any technical information, instructions, manuals and code reasonably required by the Buyer to enable a smooth migration from the Supplier</w:t>
      </w: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tab/>
        <w:t xml:space="preserve">the strategy for export and migration of Buyer data from the Supplier system to the Buyer or a Replacement Supplier, including conversion to open standards or other standards required by the Buyer</w:t>
      </w:r>
      <w:r w:rsidDel="00000000" w:rsidR="00000000" w:rsidRPr="00000000">
        <w:rPr>
          <w:rtl w:val="0"/>
        </w:rPr>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tab/>
        <w:t xml:space="preserve">the transfer of project- specific IPR items and other Buyer customisations, configurations and databases to the Buyer or a replacement supplier</w:t>
      </w:r>
      <w:r w:rsidDel="00000000" w:rsidR="00000000" w:rsidRPr="00000000">
        <w:rPr>
          <w:rtl w:val="0"/>
        </w:rPr>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tab/>
        <w:t xml:space="preserve">the testing and assurance strategy for exported Buyer data</w:t>
      </w:r>
      <w:r w:rsidDel="00000000" w:rsidR="00000000" w:rsidRPr="00000000">
        <w:rPr>
          <w:rtl w:val="0"/>
        </w:rPr>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tab/>
        <w:t xml:space="preserve">if relevant, TUPE-related activity to comply with the TUPE regulations</w:t>
      </w:r>
      <w:r w:rsidDel="00000000" w:rsidR="00000000" w:rsidRPr="00000000">
        <w:rPr>
          <w:rtl w:val="0"/>
        </w:rPr>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tab/>
        <w:t xml:space="preserve">any other activities and information which are reasonably required to ensure continuity of Service during the exit period and an orderly transition</w:t>
      </w:r>
      <w:r w:rsidDel="00000000" w:rsidR="00000000" w:rsidRPr="00000000">
        <w:rPr>
          <w:rtl w:val="0"/>
        </w:rPr>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w:t>
        <w:tab/>
        <w:t xml:space="preserve">When requested, the Supplier will help the Buyer to migrate the Services to a Replacement Supplier in line with the exit plan. This will be at the Supplier’s own expense if the Call-Off Contract ended before the Expiry Date due to Supplier cause. Otherwise any additional costs incurred by the Supplier in providing such assistance shall be subject to the Variation Procedure.</w:t>
      </w:r>
      <w:r w:rsidDel="00000000" w:rsidR="00000000" w:rsidRPr="00000000">
        <w:rPr>
          <w:rtl w:val="0"/>
        </w:rPr>
      </w:r>
    </w:p>
    <w:p w:rsidR="00000000" w:rsidDel="00000000" w:rsidP="00000000" w:rsidRDefault="00000000" w:rsidRPr="00000000" w14:paraId="00000095">
      <w:pPr>
        <w:rPr>
          <w:rFonts w:ascii="Arial" w:cs="Arial" w:eastAsia="Arial" w:hAnsi="Arial"/>
          <w:sz w:val="24"/>
          <w:szCs w:val="24"/>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Times New Roman"/>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D">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9E">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9F">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Project Version: v1.0</w:t>
      <w:tab/>
      <w:tab/>
      <w:tab/>
    </w:r>
    <w:r w:rsidDel="00000000" w:rsidR="00000000" w:rsidRPr="00000000">
      <w:rPr>
        <w:rFonts w:ascii="Arial" w:cs="Arial" w:eastAsia="Arial" w:hAnsi="Arial"/>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A0">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 v3.0</w:t>
      <w:tab/>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1">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A2">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Framework Ref: RM6259</w:t>
    </w:r>
  </w:p>
  <w:p w:rsidR="00000000" w:rsidDel="00000000" w:rsidP="00000000" w:rsidRDefault="00000000" w:rsidRPr="00000000" w14:paraId="000000A3">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w:t>
    </w:r>
    <w:r w:rsidDel="00000000" w:rsidR="00000000" w:rsidRPr="00000000">
      <w:rPr>
        <w:rFonts w:ascii="Arial" w:cs="Arial" w:eastAsia="Arial" w:hAnsi="Arial"/>
        <w:sz w:val="20"/>
        <w:szCs w:val="20"/>
        <w:rtl w:val="0"/>
      </w:rPr>
      <w:t xml:space="preserve">1</w:t>
    </w:r>
    <w:r w:rsidDel="00000000" w:rsidR="00000000" w:rsidRPr="00000000">
      <w:rPr>
        <w:rFonts w:ascii="Arial" w:cs="Arial" w:eastAsia="Arial" w:hAnsi="Arial"/>
        <w:color w:val="000000"/>
        <w:sz w:val="20"/>
        <w:szCs w:val="20"/>
        <w:rtl w:val="0"/>
      </w:rPr>
      <w:t xml:space="preserve">.0</w:t>
      <w:tab/>
      <w:tab/>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A4">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Model Version: v3</w:t>
    </w:r>
    <w:bookmarkStart w:colFirst="0" w:colLast="0" w:name="bookmark=id.vx1227" w:id="40"/>
    <w:bookmarkEnd w:id="40"/>
    <w:r w:rsidDel="00000000" w:rsidR="00000000" w:rsidRPr="00000000">
      <w:rPr>
        <w:rFonts w:ascii="Arial" w:cs="Arial" w:eastAsia="Arial" w:hAnsi="Arial"/>
        <w:color w:val="000000"/>
        <w:sz w:val="20"/>
        <w:szCs w:val="20"/>
        <w:rtl w:val="0"/>
      </w:rPr>
      <w:t xml:space="preserve">.</w:t>
    </w:r>
    <w:r w:rsidDel="00000000" w:rsidR="00000000" w:rsidRPr="00000000">
      <w:rPr>
        <w:rFonts w:ascii="Arial" w:cs="Arial" w:eastAsia="Arial" w:hAnsi="Arial"/>
        <w:sz w:val="20"/>
        <w:szCs w:val="20"/>
        <w:rtl w:val="0"/>
      </w:rPr>
      <w:t xml:space="preserve">2</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6">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Call-Off Schedule 10 (Exit Management)</w:t>
    </w:r>
    <w:r w:rsidDel="00000000" w:rsidR="00000000" w:rsidRPr="00000000">
      <w:rPr>
        <w:rtl w:val="0"/>
      </w:rPr>
    </w:r>
  </w:p>
  <w:p w:rsidR="00000000" w:rsidDel="00000000" w:rsidP="00000000" w:rsidRDefault="00000000" w:rsidRPr="00000000" w14:paraId="00000097">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Ref: </w:t>
    </w:r>
  </w:p>
  <w:p w:rsidR="00000000" w:rsidDel="00000000" w:rsidP="00000000" w:rsidRDefault="00000000" w:rsidRPr="00000000" w14:paraId="00000098">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w:t>
    </w:r>
    <w:r w:rsidDel="00000000" w:rsidR="00000000" w:rsidRPr="00000000">
      <w:rPr>
        <w:rFonts w:ascii="Arial" w:cs="Arial" w:eastAsia="Arial" w:hAnsi="Arial"/>
        <w:sz w:val="20"/>
        <w:szCs w:val="20"/>
        <w:rtl w:val="0"/>
      </w:rPr>
      <w:t xml:space="preserve">22</w:t>
    </w:r>
    <w:r w:rsidDel="00000000" w:rsidR="00000000" w:rsidRPr="00000000">
      <w:rPr>
        <w:rtl w:val="0"/>
      </w:rPr>
    </w:r>
  </w:p>
  <w:p w:rsidR="00000000" w:rsidDel="00000000" w:rsidP="00000000" w:rsidRDefault="00000000" w:rsidRPr="00000000" w14:paraId="00000099">
    <w:pPr>
      <w:pBdr>
        <w:top w:space="0" w:sz="0" w:val="nil"/>
        <w:left w:space="0" w:sz="0" w:val="nil"/>
        <w:bottom w:space="0" w:sz="0" w:val="nil"/>
        <w:right w:space="0" w:sz="0" w:val="nil"/>
        <w:between w:space="0" w:sz="0" w:val="nil"/>
      </w:pBdr>
      <w:tabs>
        <w:tab w:val="center" w:pos="4513"/>
        <w:tab w:val="right" w:pos="9026"/>
        <w:tab w:val="left" w:pos="3559"/>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644" w:hanging="358.99999999999994"/>
      </w:pPr>
      <w:rPr>
        <w:smallCaps w:val="0"/>
        <w:strike w:val="0"/>
        <w:color w:val="000000"/>
        <w:u w:val="none"/>
        <w:vertAlign w:val="baseline"/>
      </w:rPr>
    </w:lvl>
    <w:lvl w:ilvl="1">
      <w:start w:val="1"/>
      <w:numFmt w:val="decimal"/>
      <w:lvlText w:val="%1.%2"/>
      <w:lvlJc w:val="left"/>
      <w:pPr>
        <w:ind w:left="928" w:hanging="360"/>
      </w:pPr>
      <w:rPr>
        <w:rFonts w:ascii="Arial" w:cs="Arial" w:eastAsia="Arial" w:hAnsi="Arial"/>
        <w:b w:val="0"/>
        <w:i w:val="0"/>
        <w:smallCaps w:val="0"/>
        <w:strike w:val="0"/>
        <w:color w:val="000000"/>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paragraph" w:styleId="GPSL1CLAUSEHEADING" w:customStyle="1">
    <w:name w:val="GPS L1 CLAUSE HEADING"/>
    <w:basedOn w:val="Normal"/>
    <w:next w:val="Normal"/>
    <w:qFormat w:val="1"/>
    <w:pPr>
      <w:numPr>
        <w:numId w:val="1"/>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ind w:left="2592" w:hanging="936"/>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link w:val="GPSL5numberedclauseChar"/>
    <w:qFormat w:val="1"/>
    <w:pPr>
      <w:numPr>
        <w:ilvl w:val="4"/>
      </w:numPr>
      <w:tabs>
        <w:tab w:val="left" w:pos="3402"/>
      </w:tabs>
      <w:ind w:left="3402" w:hanging="567"/>
    </w:pPr>
  </w:style>
  <w:style w:type="character" w:styleId="GPSL5numberedclauseChar" w:customStyle="1">
    <w:name w:val="GPS L5 numbered clause Char"/>
    <w:link w:val="GPSL5numberedclause"/>
    <w:rPr>
      <w:rFonts w:ascii="Calibri" w:cs="Arial" w:eastAsia="Times New Roman" w:hAnsi="Calibri"/>
      <w:szCs w:val="20"/>
      <w:lang w:eastAsia="zh-CN"/>
    </w:rPr>
  </w:style>
  <w:style w:type="paragraph" w:styleId="GPSL3Indent" w:customStyle="1">
    <w:name w:val="GPS L3 Indent"/>
    <w:basedOn w:val="Normal"/>
    <w:pPr>
      <w:tabs>
        <w:tab w:val="left" w:pos="2127"/>
      </w:tabs>
      <w:adjustRightInd w:val="0"/>
      <w:spacing w:after="120" w:before="120" w:line="240" w:lineRule="auto"/>
      <w:ind w:left="2127"/>
      <w:jc w:val="both"/>
    </w:pPr>
    <w:rPr>
      <w:rFonts w:ascii="Arial" w:cs="Arial" w:eastAsia="Times New Roman" w:hAnsi="Arial"/>
      <w:lang w:eastAsia="zh-CN" w:val="en-US"/>
    </w:rPr>
  </w:style>
  <w:style w:type="paragraph" w:styleId="GPSL2Indent" w:customStyle="1">
    <w:name w:val="GPS L2 Indent"/>
    <w:basedOn w:val="GPSL2numberedclause"/>
    <w:link w:val="GPSL2IndentChar"/>
    <w:qFormat w:val="1"/>
    <w:pPr>
      <w:numPr>
        <w:ilvl w:val="0"/>
        <w:numId w:val="0"/>
      </w:numPr>
      <w:tabs>
        <w:tab w:val="left" w:pos="709"/>
        <w:tab w:val="left" w:pos="2127"/>
      </w:tabs>
      <w:ind w:left="709"/>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character" w:styleId="GPSL2IndentChar" w:customStyle="1">
    <w:name w:val="GPS L2 Indent Char"/>
    <w:link w:val="GPSL2Indent"/>
    <w:rPr>
      <w:rFonts w:ascii="Calibri" w:cs="Arial" w:eastAsia="Times New Roman" w:hAnsi="Calibri"/>
      <w:lang w:eastAsia="zh-CN"/>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ind w:left="360"/>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cheduleL1" w:customStyle="1">
    <w:name w:val="Schedule L1"/>
    <w:basedOn w:val="Normal"/>
    <w:pPr>
      <w:numPr>
        <w:numId w:val="3"/>
      </w:numPr>
      <w:adjustRightInd w:val="0"/>
      <w:spacing w:after="240" w:line="240" w:lineRule="auto"/>
      <w:jc w:val="both"/>
      <w:outlineLvl w:val="0"/>
    </w:pPr>
    <w:rPr>
      <w:rFonts w:ascii="Times New Roman" w:cs="Times New Roman" w:eastAsia="STZhongsong" w:hAnsi="Times New Roman"/>
      <w:szCs w:val="20"/>
      <w:lang w:eastAsia="zh-CN"/>
    </w:rPr>
  </w:style>
  <w:style w:type="paragraph" w:styleId="ScheduleL2" w:customStyle="1">
    <w:name w:val="Schedule L2"/>
    <w:basedOn w:val="Normal"/>
    <w:link w:val="ScheduleL2Char"/>
    <w:pPr>
      <w:numPr>
        <w:ilvl w:val="1"/>
        <w:numId w:val="3"/>
      </w:numPr>
      <w:adjustRightInd w:val="0"/>
      <w:spacing w:after="240" w:line="240" w:lineRule="auto"/>
      <w:jc w:val="both"/>
      <w:outlineLvl w:val="1"/>
    </w:pPr>
    <w:rPr>
      <w:rFonts w:ascii="Times New Roman" w:cs="Times New Roman" w:eastAsia="STZhongsong" w:hAnsi="Times New Roman"/>
      <w:szCs w:val="20"/>
      <w:lang w:eastAsia="zh-CN"/>
    </w:rPr>
  </w:style>
  <w:style w:type="paragraph" w:styleId="ScheduleL3" w:customStyle="1">
    <w:name w:val="Schedule L3"/>
    <w:basedOn w:val="Normal"/>
    <w:link w:val="ScheduleL3Char"/>
    <w:pPr>
      <w:numPr>
        <w:ilvl w:val="2"/>
        <w:numId w:val="3"/>
      </w:numPr>
      <w:adjustRightInd w:val="0"/>
      <w:spacing w:after="240" w:line="240" w:lineRule="auto"/>
      <w:jc w:val="both"/>
      <w:outlineLvl w:val="2"/>
    </w:pPr>
    <w:rPr>
      <w:rFonts w:ascii="Times New Roman" w:cs="Times New Roman" w:eastAsia="STZhongsong" w:hAnsi="Times New Roman"/>
      <w:szCs w:val="20"/>
      <w:lang w:eastAsia="zh-CN"/>
    </w:rPr>
  </w:style>
  <w:style w:type="paragraph" w:styleId="ScheduleL4" w:customStyle="1">
    <w:name w:val="Schedule L4"/>
    <w:basedOn w:val="Normal"/>
    <w:pPr>
      <w:numPr>
        <w:ilvl w:val="3"/>
        <w:numId w:val="3"/>
      </w:numPr>
      <w:adjustRightInd w:val="0"/>
      <w:spacing w:after="240" w:line="240" w:lineRule="auto"/>
      <w:jc w:val="both"/>
      <w:outlineLvl w:val="3"/>
    </w:pPr>
    <w:rPr>
      <w:rFonts w:ascii="Times New Roman" w:cs="Times New Roman" w:eastAsia="STZhongsong" w:hAnsi="Times New Roman"/>
      <w:szCs w:val="20"/>
      <w:lang w:eastAsia="zh-CN"/>
    </w:rPr>
  </w:style>
  <w:style w:type="paragraph" w:styleId="ScheduleL5" w:customStyle="1">
    <w:name w:val="Schedule L5"/>
    <w:basedOn w:val="Normal"/>
    <w:pPr>
      <w:numPr>
        <w:ilvl w:val="4"/>
        <w:numId w:val="3"/>
      </w:numPr>
      <w:adjustRightInd w:val="0"/>
      <w:spacing w:after="240" w:line="240" w:lineRule="auto"/>
      <w:jc w:val="both"/>
      <w:outlineLvl w:val="4"/>
    </w:pPr>
    <w:rPr>
      <w:rFonts w:ascii="Times New Roman" w:cs="Times New Roman" w:eastAsia="STZhongsong" w:hAnsi="Times New Roman"/>
      <w:szCs w:val="20"/>
      <w:lang w:eastAsia="zh-CN"/>
    </w:rPr>
  </w:style>
  <w:style w:type="paragraph" w:styleId="ScheduleL6" w:customStyle="1">
    <w:name w:val="Schedule L6"/>
    <w:basedOn w:val="Normal"/>
    <w:pPr>
      <w:numPr>
        <w:ilvl w:val="5"/>
        <w:numId w:val="3"/>
      </w:numPr>
      <w:adjustRightInd w:val="0"/>
      <w:spacing w:after="240" w:line="240" w:lineRule="auto"/>
      <w:jc w:val="both"/>
      <w:outlineLvl w:val="5"/>
    </w:pPr>
    <w:rPr>
      <w:rFonts w:ascii="Times New Roman" w:cs="Times New Roman" w:eastAsia="STZhongsong" w:hAnsi="Times New Roman"/>
      <w:szCs w:val="20"/>
      <w:lang w:eastAsia="zh-CN"/>
    </w:rPr>
  </w:style>
  <w:style w:type="paragraph" w:styleId="ScheduleL7" w:customStyle="1">
    <w:name w:val="Schedule L7"/>
    <w:basedOn w:val="Normal"/>
    <w:pPr>
      <w:numPr>
        <w:ilvl w:val="6"/>
        <w:numId w:val="3"/>
      </w:numPr>
      <w:adjustRightInd w:val="0"/>
      <w:spacing w:after="240" w:line="240" w:lineRule="auto"/>
      <w:jc w:val="both"/>
      <w:outlineLvl w:val="6"/>
    </w:pPr>
    <w:rPr>
      <w:rFonts w:ascii="Times New Roman" w:cs="Times New Roman" w:eastAsia="STZhongsong" w:hAnsi="Times New Roman"/>
      <w:szCs w:val="20"/>
      <w:lang w:eastAsia="zh-CN"/>
    </w:rPr>
  </w:style>
  <w:style w:type="paragraph" w:styleId="ScheduleL8" w:customStyle="1">
    <w:name w:val="Schedule L8"/>
    <w:basedOn w:val="Normal"/>
    <w:pPr>
      <w:numPr>
        <w:ilvl w:val="7"/>
        <w:numId w:val="3"/>
      </w:numPr>
      <w:adjustRightInd w:val="0"/>
      <w:spacing w:after="240" w:line="240" w:lineRule="auto"/>
      <w:jc w:val="both"/>
      <w:outlineLvl w:val="7"/>
    </w:pPr>
    <w:rPr>
      <w:rFonts w:ascii="Times New Roman" w:cs="Times New Roman" w:eastAsia="STZhongsong" w:hAnsi="Times New Roman"/>
      <w:szCs w:val="20"/>
      <w:lang w:eastAsia="zh-CN"/>
    </w:rPr>
  </w:style>
  <w:style w:type="paragraph" w:styleId="ScheduleL9" w:customStyle="1">
    <w:name w:val="Schedule L9"/>
    <w:basedOn w:val="Normal"/>
    <w:pPr>
      <w:numPr>
        <w:ilvl w:val="8"/>
        <w:numId w:val="3"/>
      </w:numPr>
      <w:adjustRightInd w:val="0"/>
      <w:spacing w:after="240" w:line="240" w:lineRule="auto"/>
      <w:jc w:val="both"/>
      <w:outlineLvl w:val="8"/>
    </w:pPr>
    <w:rPr>
      <w:rFonts w:ascii="Times New Roman" w:cs="Times New Roman" w:eastAsia="STZhongsong" w:hAnsi="Times New Roman"/>
      <w:szCs w:val="20"/>
      <w:lang w:eastAsia="zh-CN"/>
    </w:rPr>
  </w:style>
  <w:style w:type="character" w:styleId="ScheduleL2Char" w:customStyle="1">
    <w:name w:val="Schedule L2 Char"/>
    <w:link w:val="ScheduleL2"/>
    <w:locked w:val="1"/>
    <w:rPr>
      <w:rFonts w:ascii="Times New Roman" w:cs="Times New Roman" w:eastAsia="STZhongsong" w:hAnsi="Times New Roman"/>
      <w:szCs w:val="20"/>
      <w:lang w:eastAsia="zh-CN"/>
    </w:rPr>
  </w:style>
  <w:style w:type="character" w:styleId="ScheduleL3Char" w:customStyle="1">
    <w:name w:val="Schedule L3 Char"/>
    <w:link w:val="ScheduleL3"/>
    <w:locked w:val="1"/>
    <w:rPr>
      <w:rFonts w:ascii="Times New Roman" w:cs="Times New Roman" w:eastAsia="STZhongsong" w:hAnsi="Times New Roman"/>
      <w:szCs w:val="20"/>
      <w:lang w:eastAsia="zh-CN"/>
    </w:r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sz w:val="20"/>
      <w:szCs w:val="20"/>
    </w:rPr>
  </w:style>
  <w:style w:type="character" w:styleId="FootnoteReference">
    <w:name w:val="footnote reference"/>
    <w:basedOn w:val="DefaultParagraphFont"/>
    <w:uiPriority w:val="99"/>
    <w:semiHidden w:val="1"/>
    <w:unhideWhenUsed w:val="1"/>
    <w:rPr>
      <w:vertAlign w:val="superscript"/>
    </w:rPr>
  </w:style>
  <w:style w:type="paragraph" w:styleId="Schedule1" w:customStyle="1">
    <w:name w:val="Schedule 1"/>
    <w:basedOn w:val="Normal"/>
    <w:next w:val="BodyText"/>
    <w:pPr>
      <w:keepNext w:val="1"/>
      <w:tabs>
        <w:tab w:val="num" w:pos="720"/>
      </w:tabs>
      <w:spacing w:after="240" w:line="240" w:lineRule="auto"/>
      <w:ind w:left="720" w:hanging="720"/>
      <w:jc w:val="both"/>
    </w:pPr>
    <w:rPr>
      <w:rFonts w:ascii="Times New Roman" w:cs="Times New Roman" w:eastAsia="Times New Roman" w:hAnsi="Times New Roman"/>
      <w:b w:val="1"/>
      <w:caps w:val="1"/>
      <w:szCs w:val="20"/>
    </w:rPr>
  </w:style>
  <w:style w:type="paragraph" w:styleId="Schedule2" w:customStyle="1">
    <w:name w:val="Schedule 2"/>
    <w:basedOn w:val="Normal"/>
    <w:next w:val="BodyText"/>
    <w:pPr>
      <w:keepNext w:val="1"/>
      <w:tabs>
        <w:tab w:val="num" w:pos="1440"/>
      </w:tabs>
      <w:spacing w:after="210" w:line="264" w:lineRule="auto"/>
      <w:ind w:left="1440" w:hanging="720"/>
      <w:jc w:val="both"/>
    </w:pPr>
    <w:rPr>
      <w:rFonts w:ascii="Times New Roman" w:cs="Times New Roman" w:eastAsia="Times New Roman" w:hAnsi="Times New Roman"/>
      <w:sz w:val="23"/>
      <w:szCs w:val="20"/>
    </w:rPr>
  </w:style>
  <w:style w:type="paragraph" w:styleId="Schedule3" w:customStyle="1">
    <w:name w:val="Schedule 3"/>
    <w:basedOn w:val="Normal"/>
    <w:pPr>
      <w:tabs>
        <w:tab w:val="num" w:pos="2160"/>
      </w:tabs>
      <w:spacing w:after="210" w:line="264" w:lineRule="auto"/>
      <w:ind w:left="2160" w:hanging="720"/>
      <w:jc w:val="both"/>
    </w:pPr>
    <w:rPr>
      <w:rFonts w:ascii="Times New Roman" w:cs="Times New Roman" w:eastAsia="Times New Roman" w:hAnsi="Times New Roman"/>
      <w:sz w:val="23"/>
      <w:szCs w:val="20"/>
    </w:rPr>
  </w:style>
  <w:style w:type="paragraph" w:styleId="Schedule4" w:customStyle="1">
    <w:name w:val="Schedule 4"/>
    <w:basedOn w:val="Normal"/>
    <w:pPr>
      <w:tabs>
        <w:tab w:val="num" w:pos="2880"/>
      </w:tabs>
      <w:spacing w:after="210" w:line="264" w:lineRule="auto"/>
      <w:ind w:left="2880" w:hanging="720"/>
      <w:jc w:val="both"/>
    </w:pPr>
    <w:rPr>
      <w:rFonts w:ascii="Times New Roman" w:cs="Times New Roman" w:eastAsia="Times New Roman" w:hAnsi="Times New Roman"/>
      <w:sz w:val="23"/>
      <w:szCs w:val="20"/>
    </w:rPr>
  </w:style>
  <w:style w:type="paragraph" w:styleId="Schedule5" w:customStyle="1">
    <w:name w:val="Schedule 5"/>
    <w:basedOn w:val="Normal"/>
    <w:next w:val="Normal"/>
    <w:pPr>
      <w:tabs>
        <w:tab w:val="num" w:pos="3600"/>
      </w:tabs>
      <w:spacing w:after="210" w:line="264" w:lineRule="auto"/>
      <w:ind w:left="3600" w:hanging="720"/>
      <w:jc w:val="both"/>
    </w:pPr>
    <w:rPr>
      <w:rFonts w:ascii="Times New Roman" w:cs="Times New Roman" w:eastAsia="Times New Roman" w:hAnsi="Times New Roman"/>
      <w:sz w:val="23"/>
      <w:szCs w:val="20"/>
    </w:rPr>
  </w:style>
  <w:style w:type="paragraph" w:styleId="Schedule6" w:customStyle="1">
    <w:name w:val="Schedule 6"/>
    <w:basedOn w:val="Normal"/>
    <w:next w:val="Normal"/>
    <w:pPr>
      <w:keepNext w:val="1"/>
      <w:pageBreakBefore w:val="1"/>
      <w:tabs>
        <w:tab w:val="num" w:pos="4320"/>
      </w:tabs>
      <w:spacing w:after="360" w:line="312" w:lineRule="auto"/>
      <w:ind w:left="4320" w:hanging="720"/>
      <w:jc w:val="center"/>
    </w:pPr>
    <w:rPr>
      <w:rFonts w:ascii="Times New Roman Bold" w:cs="Times New Roman" w:eastAsia="Times New Roman" w:hAnsi="Times New Roman Bold"/>
      <w:b w:val="1"/>
      <w:smallCaps w:val="1"/>
      <w:szCs w:val="20"/>
    </w:rPr>
  </w:style>
  <w:style w:type="paragraph" w:styleId="Schedule7" w:customStyle="1">
    <w:name w:val="Schedule 7"/>
    <w:basedOn w:val="Normal"/>
    <w:next w:val="BodyText"/>
    <w:pPr>
      <w:keepNext w:val="1"/>
      <w:tabs>
        <w:tab w:val="num" w:pos="5040"/>
      </w:tabs>
      <w:spacing w:after="60" w:before="120" w:line="264" w:lineRule="auto"/>
      <w:ind w:left="5040" w:hanging="720"/>
      <w:jc w:val="both"/>
    </w:pPr>
    <w:rPr>
      <w:rFonts w:ascii="Times New Roman Bold" w:cs="Times New Roman" w:eastAsia="Times New Roman" w:hAnsi="Times New Roman Bold"/>
      <w:b w:val="1"/>
      <w:sz w:val="23"/>
      <w:szCs w:val="20"/>
    </w:rPr>
  </w:style>
  <w:style w:type="paragraph" w:styleId="Schedule8" w:customStyle="1">
    <w:name w:val="Schedule 8"/>
    <w:basedOn w:val="Normal"/>
    <w:pPr>
      <w:tabs>
        <w:tab w:val="num" w:pos="5760"/>
      </w:tabs>
      <w:spacing w:after="210" w:line="264" w:lineRule="auto"/>
      <w:ind w:left="5760" w:hanging="720"/>
      <w:jc w:val="both"/>
    </w:pPr>
    <w:rPr>
      <w:rFonts w:ascii="Times New Roman" w:cs="Times New Roman" w:eastAsia="Times New Roman" w:hAnsi="Times New Roman"/>
      <w:sz w:val="23"/>
      <w:szCs w:val="20"/>
    </w:rPr>
  </w:style>
  <w:style w:type="paragraph" w:styleId="Schedule9" w:customStyle="1">
    <w:name w:val="Schedule 9"/>
    <w:basedOn w:val="Normal"/>
    <w:next w:val="Normal"/>
    <w:pPr>
      <w:tabs>
        <w:tab w:val="num" w:pos="6480"/>
      </w:tabs>
      <w:spacing w:after="210" w:line="264" w:lineRule="auto"/>
      <w:ind w:left="6480" w:hanging="720"/>
      <w:jc w:val="both"/>
    </w:pPr>
    <w:rPr>
      <w:rFonts w:ascii="Times New Roman" w:cs="Times New Roman" w:eastAsia="Times New Roman" w:hAnsi="Times New Roman"/>
      <w:sz w:val="23"/>
      <w:szCs w:val="20"/>
    </w:rPr>
  </w:style>
  <w:style w:type="paragraph" w:styleId="StyleSchedule211pt" w:customStyle="1">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val="1"/>
    <w:unhideWhenUsed w:val="1"/>
    <w:pPr>
      <w:spacing w:after="120"/>
    </w:pPr>
  </w:style>
  <w:style w:type="character" w:styleId="BodyTextChar" w:customStyle="1">
    <w:name w:val="Body Text Char"/>
    <w:basedOn w:val="DefaultParagraphFont"/>
    <w:link w:val="BodyText"/>
    <w:uiPriority w:val="99"/>
    <w:semiHidden w:val="1"/>
  </w:style>
  <w:style w:type="paragraph" w:styleId="9plus" w:customStyle="1">
    <w:name w:val="9 plus"/>
    <w:basedOn w:val="Normal"/>
    <w:pPr>
      <w:tabs>
        <w:tab w:val="num" w:pos="720"/>
      </w:tabs>
      <w:spacing w:after="210" w:line="264" w:lineRule="auto"/>
      <w:ind w:left="720" w:hanging="720"/>
      <w:jc w:val="both"/>
    </w:pPr>
    <w:rPr>
      <w:rFonts w:ascii="Times New Roman" w:cs="Times New Roman" w:eastAsia="Times New Roman" w:hAnsi="Times New Roman"/>
      <w:sz w:val="23"/>
      <w:szCs w:val="20"/>
    </w:rPr>
  </w:style>
  <w:style w:type="paragraph" w:styleId="ListParagraph">
    <w:name w:val="List Paragraph"/>
    <w:basedOn w:val="Normal"/>
    <w:uiPriority w:val="34"/>
    <w:qFormat w:val="1"/>
    <w:pPr>
      <w:spacing w:after="0" w:line="240" w:lineRule="auto"/>
      <w:ind w:left="720"/>
    </w:pPr>
    <w:rPr>
      <w:rFonts w:cs="Times New Roman"/>
    </w:rPr>
  </w:style>
  <w:style w:type="paragraph" w:styleId="GPSSchTitleandNumber" w:customStyle="1">
    <w:name w:val="GPS Sch Title and Number"/>
    <w:basedOn w:val="Normal"/>
    <w:link w:val="GPSSchTitleandNumberChar"/>
    <w:qFormat w:val="1"/>
    <w:rsid w:val="00D417E2"/>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sid w:val="00D417E2"/>
    <w:rPr>
      <w:rFonts w:ascii="Arial Bold" w:cs="Times New Roman" w:eastAsia="STZhongsong" w:hAnsi="Arial Bold"/>
      <w:b w:val="1"/>
      <w:caps w:val="1"/>
      <w:lang w:eastAsia="zh-CN"/>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paragraph" w:styleId="NormalWeb">
    <w:name w:val="Normal (Web)"/>
    <w:basedOn w:val="Normal"/>
    <w:uiPriority w:val="99"/>
    <w:semiHidden w:val="1"/>
    <w:unhideWhenUsed w:val="1"/>
    <w:rsid w:val="00662E8D"/>
    <w:pPr>
      <w:spacing w:after="100" w:afterAutospacing="1" w:before="100" w:beforeAutospacing="1" w:line="240" w:lineRule="auto"/>
    </w:pPr>
    <w:rPr>
      <w:rFonts w:ascii="Times New Roman" w:cs="Times New Roman" w:eastAsia="Times New Roman" w:hAnsi="Times New Roman"/>
      <w:sz w:val="24"/>
      <w:szCs w:val="24"/>
    </w:rPr>
  </w:style>
  <w:style w:type="character" w:styleId="apple-tab-span" w:customStyle="1">
    <w:name w:val="apple-tab-span"/>
    <w:basedOn w:val="DefaultParagraphFont"/>
    <w:rsid w:val="00662E8D"/>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mJ5Pe9g8W+lZF9jHqPs7frX1JmA==">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</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2022-08-01T09:44:00Z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